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59928" w14:textId="681CACBF" w:rsidR="0074405B" w:rsidRDefault="0074405B" w:rsidP="0074405B">
      <w:pPr>
        <w:pStyle w:val="3GPPHeader"/>
        <w:spacing w:after="60"/>
        <w:rPr>
          <w:sz w:val="32"/>
          <w:szCs w:val="32"/>
          <w:highlight w:val="yellow"/>
        </w:rPr>
      </w:pPr>
      <w:r>
        <w:t>3GPP TSG-RAN WG2 #97</w:t>
      </w:r>
      <w:r>
        <w:tab/>
      </w:r>
      <w:r w:rsidR="00D70E73">
        <w:rPr>
          <w:sz w:val="32"/>
          <w:szCs w:val="32"/>
        </w:rPr>
        <w:t>Tdoc R2-17</w:t>
      </w:r>
      <w:r w:rsidR="00E76C47" w:rsidRPr="00E76C47">
        <w:rPr>
          <w:sz w:val="32"/>
          <w:szCs w:val="32"/>
        </w:rPr>
        <w:t>01607</w:t>
      </w:r>
    </w:p>
    <w:p w14:paraId="2F4183A0" w14:textId="77777777" w:rsidR="0074405B" w:rsidRDefault="0074405B" w:rsidP="0074405B">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14:paraId="56C12257" w14:textId="77777777" w:rsidR="00E90E49" w:rsidRPr="00CE0424" w:rsidRDefault="00E90E49" w:rsidP="00357380">
      <w:pPr>
        <w:pStyle w:val="3GPPHeader"/>
      </w:pPr>
    </w:p>
    <w:p w14:paraId="4A4F422A" w14:textId="2F1BFA9F" w:rsidR="00E90E49" w:rsidRPr="00740BA2" w:rsidRDefault="00E90E49" w:rsidP="00311702">
      <w:pPr>
        <w:pStyle w:val="3GPPHeader"/>
        <w:rPr>
          <w:sz w:val="22"/>
          <w:szCs w:val="22"/>
          <w:lang w:val="en-US"/>
        </w:rPr>
      </w:pPr>
      <w:r w:rsidRPr="00740BA2">
        <w:rPr>
          <w:sz w:val="22"/>
          <w:szCs w:val="22"/>
          <w:lang w:val="en-US"/>
        </w:rPr>
        <w:t>Agenda Item:</w:t>
      </w:r>
      <w:r w:rsidRPr="00740BA2">
        <w:rPr>
          <w:sz w:val="22"/>
          <w:szCs w:val="22"/>
          <w:lang w:val="en-US"/>
        </w:rPr>
        <w:tab/>
      </w:r>
      <w:r w:rsidR="00E76C47" w:rsidRPr="00740BA2">
        <w:rPr>
          <w:sz w:val="22"/>
          <w:szCs w:val="22"/>
          <w:lang w:val="en-US"/>
        </w:rPr>
        <w:t>9.2.2</w:t>
      </w:r>
    </w:p>
    <w:p w14:paraId="5DAA27F0" w14:textId="6EBEDA59"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550884">
        <w:rPr>
          <w:sz w:val="22"/>
          <w:szCs w:val="22"/>
        </w:rPr>
        <w:tab/>
      </w:r>
    </w:p>
    <w:p w14:paraId="646A8460" w14:textId="0EAA695C" w:rsidR="00140CBE" w:rsidRPr="00140CBE" w:rsidRDefault="003D3C45" w:rsidP="00140CBE">
      <w:pPr>
        <w:pStyle w:val="3GPPHeader"/>
        <w:rPr>
          <w:sz w:val="22"/>
          <w:szCs w:val="22"/>
          <w:highlight w:val="yellow"/>
          <w:lang w:val="en-US"/>
        </w:rPr>
      </w:pPr>
      <w:r>
        <w:rPr>
          <w:sz w:val="22"/>
          <w:szCs w:val="22"/>
        </w:rPr>
        <w:t>Title:</w:t>
      </w:r>
      <w:r w:rsidR="00E90E49" w:rsidRPr="00CE0424">
        <w:rPr>
          <w:sz w:val="22"/>
          <w:szCs w:val="22"/>
        </w:rPr>
        <w:tab/>
      </w:r>
      <w:r w:rsidR="005373CF" w:rsidRPr="00740BA2">
        <w:rPr>
          <w:sz w:val="22"/>
          <w:szCs w:val="22"/>
          <w:lang w:val="en-US"/>
        </w:rPr>
        <w:t>HARQ process handli</w:t>
      </w:r>
      <w:r w:rsidR="001D11DD" w:rsidRPr="00740BA2">
        <w:rPr>
          <w:sz w:val="22"/>
          <w:szCs w:val="22"/>
          <w:lang w:val="en-US"/>
        </w:rPr>
        <w:t>ng with different TTIs lengths</w:t>
      </w:r>
    </w:p>
    <w:p w14:paraId="7E783B99" w14:textId="519F396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40BA2">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4460BF58" w14:textId="674E6B9D" w:rsidR="009012E6" w:rsidRDefault="000C7C1E" w:rsidP="000C7C1E">
      <w:pPr>
        <w:pStyle w:val="BodyText"/>
      </w:pPr>
      <w:r>
        <w:t xml:space="preserve">With </w:t>
      </w:r>
      <w:r w:rsidR="009012E6">
        <w:t xml:space="preserve">short TTIs and </w:t>
      </w:r>
      <w:r>
        <w:t xml:space="preserve">reduced processing time as currently </w:t>
      </w:r>
      <w:r w:rsidR="009012E6">
        <w:t xml:space="preserve">being </w:t>
      </w:r>
      <w:r>
        <w:t xml:space="preserve">defined in RAN1 </w:t>
      </w:r>
      <w:r w:rsidR="00800F7C">
        <w:t xml:space="preserve">per </w:t>
      </w:r>
      <w:r w:rsidR="0064066E">
        <w:fldChar w:fldCharType="begin"/>
      </w:r>
      <w:r w:rsidR="0064066E">
        <w:instrText xml:space="preserve"> REF _Ref473685411 \r \h </w:instrText>
      </w:r>
      <w:r w:rsidR="0064066E">
        <w:fldChar w:fldCharType="separate"/>
      </w:r>
      <w:r w:rsidR="004513A6">
        <w:t>[1]</w:t>
      </w:r>
      <w:r w:rsidR="0064066E">
        <w:fldChar w:fldCharType="end"/>
      </w:r>
      <w:r w:rsidR="00800F7C">
        <w:t>,</w:t>
      </w:r>
      <w:r>
        <w:t xml:space="preserve"> LTE latency in DL and UL is reduced by </w:t>
      </w:r>
      <w:r w:rsidR="009012E6">
        <w:t xml:space="preserve">shorter TTI length or </w:t>
      </w:r>
      <w:r w:rsidR="005A58BB">
        <w:t xml:space="preserve">by </w:t>
      </w:r>
      <w:r w:rsidR="009012E6">
        <w:t>reducing</w:t>
      </w:r>
      <w:r>
        <w:t xml:space="preserve"> DL data to HARQ feedback time and UL grant to data time, each by 1 ms respectively. </w:t>
      </w:r>
      <w:r w:rsidR="009012E6">
        <w:t>T</w:t>
      </w:r>
      <w:r>
        <w:t>he following agreements</w:t>
      </w:r>
      <w:r w:rsidR="009012E6">
        <w:t xml:space="preserve"> have been reached in RAN1</w:t>
      </w:r>
      <w:r>
        <w:t>:</w:t>
      </w:r>
    </w:p>
    <w:tbl>
      <w:tblPr>
        <w:tblStyle w:val="TableGrid"/>
        <w:tblW w:w="0" w:type="auto"/>
        <w:tblLook w:val="04A0" w:firstRow="1" w:lastRow="0" w:firstColumn="1" w:lastColumn="0" w:noHBand="0" w:noVBand="1"/>
      </w:tblPr>
      <w:tblGrid>
        <w:gridCol w:w="9779"/>
      </w:tblGrid>
      <w:tr w:rsidR="006E4ADC" w14:paraId="797B803C" w14:textId="77777777" w:rsidTr="006E4ADC">
        <w:tc>
          <w:tcPr>
            <w:tcW w:w="9779" w:type="dxa"/>
          </w:tcPr>
          <w:p w14:paraId="0CF7F75D" w14:textId="77777777" w:rsidR="006E4ADC" w:rsidRDefault="006E4ADC" w:rsidP="006E4ADC">
            <w:pPr>
              <w:pStyle w:val="Doc-text2"/>
              <w:ind w:left="0" w:firstLine="0"/>
            </w:pPr>
            <w:r>
              <w:t>Agreements:</w:t>
            </w:r>
          </w:p>
          <w:p w14:paraId="1FD9648F" w14:textId="77777777" w:rsidR="006E4ADC" w:rsidRDefault="006E4ADC" w:rsidP="006E4ADC">
            <w:pPr>
              <w:rPr>
                <w:lang w:val="en-US"/>
              </w:rPr>
            </w:pPr>
          </w:p>
          <w:p w14:paraId="71F37725" w14:textId="77777777" w:rsidR="006E4ADC" w:rsidRPr="006E4ADC" w:rsidRDefault="006E4ADC" w:rsidP="006E4ADC">
            <w:pPr>
              <w:numPr>
                <w:ilvl w:val="0"/>
                <w:numId w:val="14"/>
              </w:numPr>
              <w:overflowPunct/>
              <w:autoSpaceDE/>
              <w:autoSpaceDN/>
              <w:adjustRightInd/>
              <w:spacing w:after="0"/>
              <w:jc w:val="left"/>
              <w:textAlignment w:val="auto"/>
              <w:rPr>
                <w:rFonts w:eastAsia="MS Mincho"/>
                <w:lang w:val="en-US" w:eastAsia="ja-JP"/>
              </w:rPr>
            </w:pPr>
            <w:r w:rsidRPr="006E4ADC">
              <w:rPr>
                <w:rFonts w:eastAsia="MS Mincho"/>
                <w:lang w:val="en-US" w:eastAsia="ja-JP"/>
              </w:rPr>
              <w:t>The minimum timing for UL grant to UL data and for DL data to DL HARQ is n + k sTTI for short TTI operation;</w:t>
            </w:r>
          </w:p>
          <w:p w14:paraId="242EC54C" w14:textId="77777777" w:rsidR="006E4ADC" w:rsidRPr="006E4ADC" w:rsidRDefault="006E4ADC" w:rsidP="006E4ADC">
            <w:pPr>
              <w:numPr>
                <w:ilvl w:val="0"/>
                <w:numId w:val="14"/>
              </w:numPr>
              <w:overflowPunct/>
              <w:autoSpaceDE/>
              <w:autoSpaceDN/>
              <w:adjustRightInd/>
              <w:spacing w:after="0"/>
              <w:jc w:val="left"/>
              <w:textAlignment w:val="auto"/>
              <w:rPr>
                <w:rFonts w:eastAsia="MS Mincho"/>
                <w:lang w:val="en-US" w:eastAsia="ja-JP"/>
              </w:rPr>
            </w:pPr>
            <w:r w:rsidRPr="006E4ADC">
              <w:rPr>
                <w:rFonts w:eastAsia="MS Mincho"/>
                <w:lang w:val="en-US" w:eastAsia="ja-JP"/>
              </w:rPr>
              <w:t>Processing time &gt;= the legacy processing time linearly downscaled with TTI length</w:t>
            </w:r>
          </w:p>
          <w:p w14:paraId="3153BC04" w14:textId="77777777" w:rsidR="006E4ADC" w:rsidRPr="006E4ADC" w:rsidRDefault="006E4ADC" w:rsidP="006E4ADC">
            <w:pPr>
              <w:overflowPunct/>
              <w:autoSpaceDE/>
              <w:autoSpaceDN/>
              <w:adjustRightInd/>
              <w:spacing w:after="0"/>
              <w:ind w:left="1619"/>
              <w:jc w:val="left"/>
              <w:textAlignment w:val="auto"/>
              <w:rPr>
                <w:rFonts w:eastAsia="MS Mincho"/>
                <w:lang w:val="en-US" w:eastAsia="ja-JP"/>
              </w:rPr>
            </w:pPr>
            <w:r w:rsidRPr="006E4ADC">
              <w:rPr>
                <w:rFonts w:eastAsia="MS Mincho"/>
                <w:lang w:val="en-US" w:eastAsia="ja-JP"/>
              </w:rPr>
              <w:tab/>
              <w:t>4 &lt;= k &lt;= 8</w:t>
            </w:r>
          </w:p>
          <w:p w14:paraId="7460C343" w14:textId="77777777" w:rsidR="006E4ADC" w:rsidRPr="006E4ADC" w:rsidRDefault="006E4ADC" w:rsidP="006E4ADC">
            <w:pPr>
              <w:numPr>
                <w:ilvl w:val="0"/>
                <w:numId w:val="14"/>
              </w:numPr>
              <w:overflowPunct/>
              <w:autoSpaceDE/>
              <w:autoSpaceDN/>
              <w:adjustRightInd/>
              <w:spacing w:after="0"/>
              <w:jc w:val="left"/>
              <w:textAlignment w:val="auto"/>
              <w:rPr>
                <w:rFonts w:eastAsia="MS Mincho"/>
                <w:lang w:val="en-US" w:eastAsia="ja-JP"/>
              </w:rPr>
            </w:pPr>
            <w:r w:rsidRPr="006E4ADC">
              <w:rPr>
                <w:rFonts w:eastAsia="MS Mincho"/>
                <w:lang w:val="en-US" w:eastAsia="ja-JP"/>
              </w:rPr>
              <w:t xml:space="preserve">Note that sTTI refers to </w:t>
            </w:r>
          </w:p>
          <w:p w14:paraId="3F2FCB10" w14:textId="77777777" w:rsidR="006E4ADC" w:rsidRPr="006E4ADC" w:rsidRDefault="006E4ADC" w:rsidP="006E4ADC">
            <w:pPr>
              <w:overflowPunct/>
              <w:autoSpaceDE/>
              <w:autoSpaceDN/>
              <w:adjustRightInd/>
              <w:spacing w:after="0"/>
              <w:ind w:left="1259"/>
              <w:jc w:val="left"/>
              <w:textAlignment w:val="auto"/>
              <w:rPr>
                <w:rFonts w:eastAsia="MS Mincho"/>
                <w:lang w:val="en-US" w:eastAsia="ja-JP"/>
              </w:rPr>
            </w:pPr>
            <w:r w:rsidRPr="006E4ADC">
              <w:rPr>
                <w:rFonts w:eastAsia="MS Mincho"/>
                <w:lang w:val="en-US" w:eastAsia="ja-JP"/>
              </w:rPr>
              <w:tab/>
              <w:t xml:space="preserve">sPUSCH sTTI for the UL grant to UL data timing </w:t>
            </w:r>
          </w:p>
          <w:p w14:paraId="278E0A0B" w14:textId="77777777" w:rsidR="006E4ADC" w:rsidRPr="006E4ADC" w:rsidRDefault="006E4ADC" w:rsidP="006E4ADC">
            <w:pPr>
              <w:overflowPunct/>
              <w:autoSpaceDE/>
              <w:autoSpaceDN/>
              <w:adjustRightInd/>
              <w:spacing w:after="0"/>
              <w:ind w:left="1619"/>
              <w:jc w:val="left"/>
              <w:textAlignment w:val="auto"/>
              <w:rPr>
                <w:rFonts w:eastAsia="MS Mincho"/>
                <w:lang w:val="en-US" w:eastAsia="ja-JP"/>
              </w:rPr>
            </w:pPr>
            <w:r w:rsidRPr="006E4ADC">
              <w:rPr>
                <w:rFonts w:eastAsia="MS Mincho"/>
                <w:lang w:val="en-US" w:eastAsia="ja-JP"/>
              </w:rPr>
              <w:tab/>
              <w:t>sPDSCH sTTI for the DL data to DL HARQ feedback timing</w:t>
            </w:r>
          </w:p>
          <w:p w14:paraId="0F240AB0" w14:textId="77777777" w:rsidR="006E4ADC" w:rsidRPr="000C7C1E" w:rsidRDefault="006E4ADC" w:rsidP="006E4ADC">
            <w:pPr>
              <w:pStyle w:val="Doc-text2"/>
              <w:ind w:left="0" w:firstLine="0"/>
              <w:rPr>
                <w:lang w:val="en-US"/>
              </w:rPr>
            </w:pPr>
          </w:p>
          <w:p w14:paraId="74BAA85F" w14:textId="77777777" w:rsidR="006E4ADC" w:rsidRPr="00A36C89" w:rsidRDefault="006E4ADC" w:rsidP="006E4ADC">
            <w:pPr>
              <w:numPr>
                <w:ilvl w:val="0"/>
                <w:numId w:val="14"/>
              </w:numPr>
              <w:overflowPunct/>
              <w:autoSpaceDE/>
              <w:autoSpaceDN/>
              <w:adjustRightInd/>
              <w:spacing w:after="0"/>
              <w:jc w:val="left"/>
              <w:textAlignment w:val="auto"/>
              <w:rPr>
                <w:rFonts w:eastAsia="MS Mincho"/>
                <w:lang w:val="en-US" w:eastAsia="ja-JP"/>
              </w:rPr>
            </w:pPr>
            <w:r w:rsidRPr="00A36C89">
              <w:rPr>
                <w:rFonts w:eastAsia="MS Mincho"/>
                <w:lang w:val="en-US" w:eastAsia="ja-JP"/>
              </w:rPr>
              <w:t>Reduced processing time</w:t>
            </w:r>
            <w:r>
              <w:rPr>
                <w:rFonts w:eastAsia="MS Mincho"/>
                <w:lang w:val="en-US" w:eastAsia="ja-JP"/>
              </w:rPr>
              <w:t>(</w:t>
            </w:r>
            <w:r w:rsidRPr="00A36C89">
              <w:rPr>
                <w:rFonts w:eastAsia="MS Mincho"/>
                <w:lang w:val="en-US" w:eastAsia="ja-JP"/>
              </w:rPr>
              <w:t>s</w:t>
            </w:r>
            <w:r>
              <w:rPr>
                <w:rFonts w:eastAsia="MS Mincho"/>
                <w:lang w:val="en-US" w:eastAsia="ja-JP"/>
              </w:rPr>
              <w:t>)</w:t>
            </w:r>
            <w:r w:rsidRPr="00A36C89">
              <w:rPr>
                <w:rFonts w:eastAsia="MS Mincho"/>
                <w:lang w:val="en-US" w:eastAsia="ja-JP"/>
              </w:rPr>
              <w:t xml:space="preserve"> </w:t>
            </w:r>
            <w:r>
              <w:rPr>
                <w:rFonts w:eastAsia="MS Mincho"/>
                <w:lang w:val="en-US" w:eastAsia="ja-JP"/>
              </w:rPr>
              <w:t>are</w:t>
            </w:r>
            <w:r w:rsidRPr="00A36C89">
              <w:rPr>
                <w:rFonts w:eastAsia="MS Mincho"/>
                <w:lang w:val="en-US" w:eastAsia="ja-JP"/>
              </w:rPr>
              <w:t xml:space="preserve"> RRC configured for the UE</w:t>
            </w:r>
          </w:p>
          <w:p w14:paraId="37DA4BAF" w14:textId="77777777" w:rsidR="006E4ADC" w:rsidRDefault="006E4ADC" w:rsidP="006E4ADC">
            <w:pPr>
              <w:numPr>
                <w:ilvl w:val="0"/>
                <w:numId w:val="14"/>
              </w:numPr>
              <w:overflowPunct/>
              <w:autoSpaceDE/>
              <w:autoSpaceDN/>
              <w:adjustRightInd/>
              <w:spacing w:after="0"/>
              <w:jc w:val="left"/>
              <w:textAlignment w:val="auto"/>
              <w:rPr>
                <w:rFonts w:eastAsia="MS Mincho"/>
                <w:lang w:val="en-US" w:eastAsia="ja-JP"/>
              </w:rPr>
            </w:pPr>
            <w:r w:rsidRPr="00530B82">
              <w:rPr>
                <w:rFonts w:eastAsia="MS Mincho"/>
                <w:lang w:val="en-US" w:eastAsia="ja-JP"/>
              </w:rPr>
              <w:t>Working assumption</w:t>
            </w:r>
            <w:r>
              <w:rPr>
                <w:rFonts w:eastAsia="MS Mincho"/>
                <w:lang w:val="en-US" w:eastAsia="ja-JP"/>
              </w:rPr>
              <w:t>: A mechanism for dynamic fallback to legacy processing timings</w:t>
            </w:r>
            <w:r w:rsidRPr="00A36C89">
              <w:rPr>
                <w:rFonts w:eastAsia="MS Mincho"/>
                <w:lang w:val="en-US" w:eastAsia="ja-JP"/>
              </w:rPr>
              <w:t xml:space="preserve"> (n+4)</w:t>
            </w:r>
            <w:r>
              <w:rPr>
                <w:rFonts w:eastAsia="MS Mincho"/>
                <w:lang w:val="en-US" w:eastAsia="ja-JP"/>
              </w:rPr>
              <w:t xml:space="preserve"> is supported</w:t>
            </w:r>
          </w:p>
          <w:p w14:paraId="4C964620" w14:textId="77777777" w:rsidR="006E4ADC" w:rsidRDefault="006E4ADC" w:rsidP="006E4ADC">
            <w:pPr>
              <w:numPr>
                <w:ilvl w:val="1"/>
                <w:numId w:val="14"/>
              </w:numPr>
              <w:overflowPunct/>
              <w:autoSpaceDE/>
              <w:autoSpaceDN/>
              <w:adjustRightInd/>
              <w:spacing w:after="0"/>
              <w:jc w:val="left"/>
              <w:textAlignment w:val="auto"/>
              <w:rPr>
                <w:rFonts w:eastAsia="MS Mincho"/>
                <w:lang w:val="en-US" w:eastAsia="ja-JP"/>
              </w:rPr>
            </w:pPr>
            <w:r>
              <w:rPr>
                <w:rFonts w:eastAsia="MS Mincho"/>
                <w:lang w:val="en-US" w:eastAsia="ja-JP"/>
              </w:rPr>
              <w:t>Details FFS</w:t>
            </w:r>
          </w:p>
          <w:p w14:paraId="3C0D1364" w14:textId="77777777" w:rsidR="006E4ADC" w:rsidRDefault="006E4ADC" w:rsidP="006E4ADC">
            <w:pPr>
              <w:numPr>
                <w:ilvl w:val="1"/>
                <w:numId w:val="14"/>
              </w:numPr>
              <w:overflowPunct/>
              <w:autoSpaceDE/>
              <w:autoSpaceDN/>
              <w:adjustRightInd/>
              <w:spacing w:after="0"/>
              <w:jc w:val="left"/>
              <w:textAlignment w:val="auto"/>
              <w:rPr>
                <w:rFonts w:eastAsia="MS Mincho"/>
                <w:lang w:val="en-US" w:eastAsia="ja-JP"/>
              </w:rPr>
            </w:pPr>
            <w:r>
              <w:rPr>
                <w:rFonts w:eastAsia="MS Mincho"/>
                <w:lang w:val="en-US" w:eastAsia="ja-JP"/>
              </w:rPr>
              <w:t xml:space="preserve">Working assumption can be revisited if it is not found to be feasible </w:t>
            </w:r>
          </w:p>
          <w:p w14:paraId="5CADAE08" w14:textId="77777777" w:rsidR="006E4ADC" w:rsidRPr="00D95BB7" w:rsidRDefault="006E4ADC" w:rsidP="006E4ADC">
            <w:pPr>
              <w:numPr>
                <w:ilvl w:val="0"/>
                <w:numId w:val="14"/>
              </w:numPr>
              <w:overflowPunct/>
              <w:autoSpaceDE/>
              <w:autoSpaceDN/>
              <w:adjustRightInd/>
              <w:spacing w:after="0"/>
              <w:jc w:val="left"/>
              <w:textAlignment w:val="auto"/>
              <w:rPr>
                <w:rFonts w:eastAsia="MS Mincho"/>
                <w:lang w:val="en-US" w:eastAsia="ja-JP"/>
              </w:rPr>
            </w:pPr>
            <w:r w:rsidRPr="00D95BB7">
              <w:rPr>
                <w:rFonts w:eastAsia="MS Mincho"/>
                <w:lang w:eastAsia="ja-JP"/>
              </w:rPr>
              <w:t xml:space="preserve">PHICH-less asynchronous HARQ for UL is </w:t>
            </w:r>
            <w:r>
              <w:rPr>
                <w:rFonts w:eastAsia="MS Mincho"/>
                <w:lang w:eastAsia="ja-JP"/>
              </w:rPr>
              <w:t>used</w:t>
            </w:r>
            <w:r w:rsidRPr="00D95BB7">
              <w:rPr>
                <w:rFonts w:eastAsia="MS Mincho"/>
                <w:lang w:eastAsia="ja-JP"/>
              </w:rPr>
              <w:t xml:space="preserve"> for 1 ms TTI with shortened processing time </w:t>
            </w:r>
          </w:p>
          <w:p w14:paraId="0DFA466C" w14:textId="77777777" w:rsidR="006E4ADC" w:rsidRPr="00D95BB7" w:rsidRDefault="006E4ADC" w:rsidP="006E4ADC">
            <w:pPr>
              <w:numPr>
                <w:ilvl w:val="1"/>
                <w:numId w:val="14"/>
              </w:numPr>
              <w:overflowPunct/>
              <w:autoSpaceDE/>
              <w:autoSpaceDN/>
              <w:adjustRightInd/>
              <w:spacing w:after="0"/>
              <w:jc w:val="left"/>
              <w:textAlignment w:val="auto"/>
              <w:rPr>
                <w:rFonts w:eastAsia="MS Mincho"/>
                <w:lang w:val="en-US" w:eastAsia="ja-JP"/>
              </w:rPr>
            </w:pPr>
            <w:r w:rsidRPr="00D95BB7">
              <w:rPr>
                <w:rFonts w:eastAsia="MS Mincho"/>
                <w:lang w:eastAsia="ja-JP"/>
              </w:rPr>
              <w:t xml:space="preserve">For FS1 and FS2, bit fields are </w:t>
            </w:r>
            <w:r>
              <w:rPr>
                <w:rFonts w:eastAsia="MS Mincho"/>
                <w:lang w:eastAsia="ja-JP"/>
              </w:rPr>
              <w:t>defined</w:t>
            </w:r>
            <w:r w:rsidRPr="00D95BB7">
              <w:rPr>
                <w:rFonts w:eastAsia="MS Mincho"/>
                <w:lang w:eastAsia="ja-JP"/>
              </w:rPr>
              <w:t xml:space="preserve"> in the applicable DCI messages to indicate HARQ processes ID and RV </w:t>
            </w:r>
          </w:p>
          <w:p w14:paraId="556C44B8" w14:textId="77777777" w:rsidR="006E4ADC" w:rsidRPr="00D95BB7" w:rsidRDefault="006E4ADC" w:rsidP="006E4ADC">
            <w:pPr>
              <w:numPr>
                <w:ilvl w:val="1"/>
                <w:numId w:val="14"/>
              </w:numPr>
              <w:overflowPunct/>
              <w:autoSpaceDE/>
              <w:autoSpaceDN/>
              <w:adjustRightInd/>
              <w:spacing w:after="0"/>
              <w:jc w:val="left"/>
              <w:textAlignment w:val="auto"/>
              <w:rPr>
                <w:rFonts w:eastAsia="MS Mincho"/>
                <w:lang w:val="en-US" w:eastAsia="ja-JP"/>
              </w:rPr>
            </w:pPr>
            <w:r w:rsidRPr="00D95BB7">
              <w:rPr>
                <w:rFonts w:eastAsia="MS Mincho"/>
                <w:lang w:eastAsia="ja-JP"/>
              </w:rPr>
              <w:t>No change in FS3 asynchronous UL HARQ operation</w:t>
            </w:r>
          </w:p>
          <w:p w14:paraId="35953C7B" w14:textId="77777777" w:rsidR="006E4ADC" w:rsidRPr="00A36C89" w:rsidRDefault="006E4ADC" w:rsidP="006E4ADC">
            <w:pPr>
              <w:overflowPunct/>
              <w:autoSpaceDE/>
              <w:autoSpaceDN/>
              <w:adjustRightInd/>
              <w:spacing w:after="0"/>
              <w:jc w:val="left"/>
              <w:textAlignment w:val="auto"/>
              <w:rPr>
                <w:rFonts w:eastAsia="MS Mincho"/>
                <w:lang w:val="en-US" w:eastAsia="ja-JP"/>
              </w:rPr>
            </w:pPr>
          </w:p>
          <w:p w14:paraId="393E1B44" w14:textId="77777777" w:rsidR="006E4ADC" w:rsidRPr="00AC259C" w:rsidRDefault="006E4ADC" w:rsidP="006E4ADC">
            <w:pPr>
              <w:numPr>
                <w:ilvl w:val="0"/>
                <w:numId w:val="14"/>
              </w:numPr>
              <w:overflowPunct/>
              <w:autoSpaceDE/>
              <w:autoSpaceDN/>
              <w:adjustRightInd/>
              <w:spacing w:after="0"/>
              <w:jc w:val="left"/>
              <w:textAlignment w:val="auto"/>
              <w:rPr>
                <w:rFonts w:eastAsia="MS Mincho"/>
                <w:u w:val="single"/>
                <w:lang w:val="en-US" w:eastAsia="ja-JP"/>
              </w:rPr>
            </w:pPr>
            <w:r>
              <w:rPr>
                <w:kern w:val="2"/>
              </w:rPr>
              <w:t>For 1 ms TTI shortened processing, s</w:t>
            </w:r>
            <w:r w:rsidRPr="00AC259C">
              <w:rPr>
                <w:kern w:val="2"/>
              </w:rPr>
              <w:t xml:space="preserve">upport fallback </w:t>
            </w:r>
            <w:r w:rsidRPr="00AC259C">
              <w:rPr>
                <w:rFonts w:hint="eastAsia"/>
                <w:kern w:val="2"/>
              </w:rPr>
              <w:t xml:space="preserve">to </w:t>
            </w:r>
            <w:r w:rsidRPr="00AC259C">
              <w:rPr>
                <w:kern w:val="2"/>
              </w:rPr>
              <w:t>legacy processing timing n+4 by the search space, i.e</w:t>
            </w:r>
            <w:r>
              <w:rPr>
                <w:kern w:val="2"/>
              </w:rPr>
              <w:t>.</w:t>
            </w:r>
            <w:r w:rsidRPr="00AC259C">
              <w:rPr>
                <w:kern w:val="2"/>
              </w:rPr>
              <w:t xml:space="preserve">  D</w:t>
            </w:r>
            <w:r>
              <w:rPr>
                <w:kern w:val="2"/>
              </w:rPr>
              <w:t>CI for processing time n+3</w:t>
            </w:r>
            <w:r w:rsidRPr="00AC259C">
              <w:rPr>
                <w:kern w:val="2"/>
              </w:rPr>
              <w:t xml:space="preserve"> are carried in USS of PDCCH and DCI for processing time n+4 are carried in CSS of PDCCH.</w:t>
            </w:r>
          </w:p>
          <w:p w14:paraId="1EA8DEB7" w14:textId="77777777" w:rsidR="006E4ADC" w:rsidRPr="00AC259C" w:rsidRDefault="006E4ADC" w:rsidP="006E4ADC">
            <w:pPr>
              <w:numPr>
                <w:ilvl w:val="1"/>
                <w:numId w:val="14"/>
              </w:numPr>
              <w:overflowPunct/>
              <w:autoSpaceDE/>
              <w:autoSpaceDN/>
              <w:adjustRightInd/>
              <w:spacing w:after="0"/>
              <w:jc w:val="left"/>
              <w:textAlignment w:val="auto"/>
              <w:rPr>
                <w:rFonts w:eastAsia="MS Mincho"/>
                <w:u w:val="single"/>
                <w:lang w:val="en-US" w:eastAsia="ja-JP"/>
              </w:rPr>
            </w:pPr>
            <w:r>
              <w:rPr>
                <w:kern w:val="2"/>
              </w:rPr>
              <w:t>For PDSCH t</w:t>
            </w:r>
            <w:r w:rsidRPr="00AC259C">
              <w:rPr>
                <w:kern w:val="2"/>
              </w:rPr>
              <w:t xml:space="preserve">he HARQ processes of n+3 1ms TTI and n+4 1ms TTI </w:t>
            </w:r>
            <w:r>
              <w:rPr>
                <w:kern w:val="2"/>
              </w:rPr>
              <w:t>are</w:t>
            </w:r>
            <w:r w:rsidRPr="00AC259C">
              <w:rPr>
                <w:kern w:val="2"/>
              </w:rPr>
              <w:t xml:space="preserve"> shared</w:t>
            </w:r>
          </w:p>
          <w:p w14:paraId="4F74D23E" w14:textId="77777777" w:rsidR="006E4ADC" w:rsidRPr="009E3F6D" w:rsidRDefault="006E4ADC" w:rsidP="006E4ADC">
            <w:pPr>
              <w:numPr>
                <w:ilvl w:val="1"/>
                <w:numId w:val="14"/>
              </w:numPr>
              <w:overflowPunct/>
              <w:autoSpaceDE/>
              <w:autoSpaceDN/>
              <w:adjustRightInd/>
              <w:spacing w:after="0"/>
              <w:jc w:val="left"/>
              <w:textAlignment w:val="auto"/>
              <w:rPr>
                <w:rFonts w:eastAsia="MS Mincho"/>
                <w:u w:val="single"/>
                <w:lang w:val="en-US" w:eastAsia="ja-JP"/>
              </w:rPr>
            </w:pPr>
            <w:r>
              <w:rPr>
                <w:kern w:val="2"/>
              </w:rPr>
              <w:t xml:space="preserve">FFS: Possible PUSCH </w:t>
            </w:r>
            <w:r w:rsidRPr="00AC259C">
              <w:rPr>
                <w:kern w:val="2"/>
              </w:rPr>
              <w:t>HARQ processes</w:t>
            </w:r>
            <w:r>
              <w:rPr>
                <w:kern w:val="2"/>
              </w:rPr>
              <w:t xml:space="preserve"> sharing between</w:t>
            </w:r>
            <w:r w:rsidRPr="00AC259C">
              <w:rPr>
                <w:kern w:val="2"/>
              </w:rPr>
              <w:t xml:space="preserve"> n+3 1ms TTI and n+4 1ms TTI</w:t>
            </w:r>
          </w:p>
          <w:p w14:paraId="7651C257" w14:textId="468364F7" w:rsidR="001D11DD" w:rsidRPr="001D11DD" w:rsidRDefault="006E4ADC" w:rsidP="001D11DD">
            <w:pPr>
              <w:numPr>
                <w:ilvl w:val="1"/>
                <w:numId w:val="14"/>
              </w:numPr>
              <w:overflowPunct/>
              <w:autoSpaceDE/>
              <w:autoSpaceDN/>
              <w:adjustRightInd/>
              <w:spacing w:after="0"/>
              <w:jc w:val="left"/>
              <w:textAlignment w:val="auto"/>
              <w:rPr>
                <w:rFonts w:eastAsia="MS Mincho"/>
                <w:u w:val="single"/>
                <w:lang w:val="en-US" w:eastAsia="ja-JP"/>
              </w:rPr>
            </w:pPr>
            <w:r>
              <w:rPr>
                <w:kern w:val="2"/>
              </w:rPr>
              <w:t>FFS: UE behaviour in case of n+3 and n+4 collision</w:t>
            </w:r>
          </w:p>
          <w:p w14:paraId="0E90B14F" w14:textId="268FD100" w:rsidR="006E4ADC" w:rsidRPr="001D11DD" w:rsidRDefault="006E4ADC" w:rsidP="00740BA2">
            <w:pPr>
              <w:numPr>
                <w:ilvl w:val="1"/>
                <w:numId w:val="14"/>
              </w:numPr>
              <w:overflowPunct/>
              <w:autoSpaceDE/>
              <w:autoSpaceDN/>
              <w:adjustRightInd/>
              <w:spacing w:after="0"/>
              <w:jc w:val="left"/>
              <w:textAlignment w:val="auto"/>
              <w:rPr>
                <w:rFonts w:eastAsia="MS Mincho"/>
                <w:u w:val="single"/>
                <w:lang w:eastAsia="ja-JP"/>
              </w:rPr>
            </w:pPr>
            <w:r w:rsidRPr="00740BA2">
              <w:rPr>
                <w:kern w:val="2"/>
              </w:rPr>
              <w:t>Note: It is not expected that the eNB will often change between n+3 and n+4 scheduling timing</w:t>
            </w:r>
          </w:p>
          <w:p w14:paraId="3B59A77F" w14:textId="77777777" w:rsidR="006E4ADC" w:rsidRDefault="006E4ADC" w:rsidP="000C7C1E">
            <w:pPr>
              <w:pStyle w:val="BodyText"/>
              <w:rPr>
                <w:lang w:val="en-US"/>
              </w:rPr>
            </w:pPr>
          </w:p>
        </w:tc>
      </w:tr>
    </w:tbl>
    <w:p w14:paraId="306B74AC" w14:textId="221DAAFF" w:rsidR="000C7C1E" w:rsidRPr="000C7C1E" w:rsidRDefault="000C7C1E" w:rsidP="000C7C1E">
      <w:pPr>
        <w:pStyle w:val="BodyText"/>
        <w:rPr>
          <w:lang w:val="en-US"/>
        </w:rPr>
      </w:pPr>
    </w:p>
    <w:p w14:paraId="5DD7B1D9" w14:textId="63E3DFB0" w:rsidR="00D3005B" w:rsidRDefault="000D5007" w:rsidP="00CE0424">
      <w:pPr>
        <w:pStyle w:val="BodyText"/>
        <w:rPr>
          <w:lang w:val="en-US"/>
        </w:rPr>
      </w:pPr>
      <w:r>
        <w:rPr>
          <w:lang w:val="en-US"/>
        </w:rPr>
        <w:t xml:space="preserve">In this paper we discuss the implication this has for the HARQ process handling when going between different modes of operation. </w:t>
      </w:r>
    </w:p>
    <w:p w14:paraId="01A3B0E2" w14:textId="77777777" w:rsidR="000D5007" w:rsidRPr="000C7C1E" w:rsidRDefault="000D5007" w:rsidP="00CE0424">
      <w:pPr>
        <w:pStyle w:val="BodyText"/>
        <w:rPr>
          <w:lang w:val="en-US"/>
        </w:rPr>
      </w:pPr>
    </w:p>
    <w:p w14:paraId="36CEC7B2" w14:textId="2E222379" w:rsidR="001643A8" w:rsidRDefault="004000E8" w:rsidP="00CE0424">
      <w:pPr>
        <w:pStyle w:val="Heading1"/>
      </w:pPr>
      <w:bookmarkStart w:id="0" w:name="_Ref178064866"/>
      <w:r w:rsidRPr="00CE0424">
        <w:lastRenderedPageBreak/>
        <w:t>Discussion</w:t>
      </w:r>
      <w:bookmarkEnd w:id="0"/>
      <w:r w:rsidR="00B23F0D">
        <w:t xml:space="preserve"> </w:t>
      </w:r>
    </w:p>
    <w:p w14:paraId="566DF79F" w14:textId="45F33103" w:rsidR="001636F0" w:rsidRDefault="00AE7D84" w:rsidP="003A5811">
      <w:r>
        <w:t>Short TTI (sTTI) operation and reduced processing time (</w:t>
      </w:r>
      <w:r w:rsidR="002C22F6">
        <w:t xml:space="preserve">RPT </w:t>
      </w:r>
      <w:r>
        <w:t>n+3) have</w:t>
      </w:r>
      <w:r w:rsidR="008446A4">
        <w:t xml:space="preserve"> a</w:t>
      </w:r>
      <w:r>
        <w:t xml:space="preserve"> lower </w:t>
      </w:r>
      <w:r w:rsidR="008446A4">
        <w:t xml:space="preserve">allowed </w:t>
      </w:r>
      <w:r>
        <w:t xml:space="preserve">maximum timing </w:t>
      </w:r>
      <w:r w:rsidR="006310ED">
        <w:t xml:space="preserve">advance </w:t>
      </w:r>
      <w:r>
        <w:t xml:space="preserve">(TA) </w:t>
      </w:r>
      <w:r w:rsidR="008446A4">
        <w:t xml:space="preserve">compared to </w:t>
      </w:r>
      <w:r>
        <w:t xml:space="preserve">normal (n+4) operation. </w:t>
      </w:r>
      <w:r w:rsidR="007837F3">
        <w:t>Thus,</w:t>
      </w:r>
      <w:r>
        <w:t xml:space="preserve"> </w:t>
      </w:r>
      <w:r w:rsidR="007D65D7">
        <w:t xml:space="preserve">switching from sTTI </w:t>
      </w:r>
      <w:r>
        <w:t xml:space="preserve">and n+3 </w:t>
      </w:r>
      <w:r w:rsidR="007D65D7">
        <w:t xml:space="preserve">to normal n+4 operation </w:t>
      </w:r>
      <w:r>
        <w:t xml:space="preserve">will </w:t>
      </w:r>
      <w:r w:rsidR="007D65D7">
        <w:t xml:space="preserve">be necessary </w:t>
      </w:r>
      <w:r>
        <w:t>due to mobility in large cells</w:t>
      </w:r>
      <w:r w:rsidR="007D65D7">
        <w:t xml:space="preserve">. </w:t>
      </w:r>
    </w:p>
    <w:p w14:paraId="5AD1F9BF" w14:textId="3EC0CC90" w:rsidR="00AE7D84" w:rsidRDefault="00E671A3" w:rsidP="003A5811">
      <w:r>
        <w:t>The shorter the TTI duration</w:t>
      </w:r>
      <w:r w:rsidR="007837F3">
        <w:t>,</w:t>
      </w:r>
      <w:r>
        <w:t xml:space="preserve"> the worse the coverage gets</w:t>
      </w:r>
      <w:r w:rsidR="00800F7C">
        <w:t xml:space="preserve"> </w:t>
      </w:r>
      <w:r w:rsidR="00800F7C">
        <w:fldChar w:fldCharType="begin"/>
      </w:r>
      <w:r w:rsidR="00800F7C">
        <w:instrText xml:space="preserve"> REF _Ref473701798 \r \h </w:instrText>
      </w:r>
      <w:r w:rsidR="00800F7C">
        <w:fldChar w:fldCharType="separate"/>
      </w:r>
      <w:r w:rsidR="004513A6">
        <w:t>[2]</w:t>
      </w:r>
      <w:r w:rsidR="00800F7C">
        <w:fldChar w:fldCharType="end"/>
      </w:r>
      <w:r>
        <w:t xml:space="preserve">. </w:t>
      </w:r>
      <w:r w:rsidR="007837F3">
        <w:t>Thus,</w:t>
      </w:r>
      <w:r>
        <w:t xml:space="preserve"> for coverage reasons, it may become necessary to switch between the different TTI durations (i.e. between 2, 7 and 14 OFDM symbol TTI durations).</w:t>
      </w:r>
    </w:p>
    <w:p w14:paraId="2EEA53C3" w14:textId="0D165CBB" w:rsidR="007D65D7" w:rsidRDefault="008446A4" w:rsidP="003A5811">
      <w:r>
        <w:t>A</w:t>
      </w:r>
      <w:r w:rsidR="007D65D7">
        <w:t xml:space="preserve"> use case that require</w:t>
      </w:r>
      <w:r w:rsidR="001E2C19">
        <w:t>s</w:t>
      </w:r>
      <w:r w:rsidR="007D65D7">
        <w:t xml:space="preserve"> switching is </w:t>
      </w:r>
      <w:r>
        <w:t xml:space="preserve">low delay/high speed </w:t>
      </w:r>
      <w:r w:rsidR="007D65D7">
        <w:t xml:space="preserve">MBB where we want a low delay </w:t>
      </w:r>
      <w:r>
        <w:t>using sTTIs (</w:t>
      </w:r>
      <w:r w:rsidR="007D65D7">
        <w:t>to speed up the TCP slow start</w:t>
      </w:r>
      <w:r>
        <w:t xml:space="preserve">) </w:t>
      </w:r>
      <w:r w:rsidR="002A4ADB">
        <w:t xml:space="preserve">for </w:t>
      </w:r>
      <w:r>
        <w:t xml:space="preserve">any user starting up. </w:t>
      </w:r>
      <w:r w:rsidR="002A4ADB">
        <w:t>However, as seen during the Study Item phase</w:t>
      </w:r>
      <w:r w:rsidR="0077630D">
        <w:t xml:space="preserve"> </w:t>
      </w:r>
      <w:r w:rsidR="0077630D">
        <w:fldChar w:fldCharType="begin"/>
      </w:r>
      <w:r w:rsidR="0077630D">
        <w:instrText xml:space="preserve"> REF _Ref473701798 \r \h </w:instrText>
      </w:r>
      <w:r w:rsidR="0077630D">
        <w:fldChar w:fldCharType="separate"/>
      </w:r>
      <w:r w:rsidR="004513A6">
        <w:t>[2]</w:t>
      </w:r>
      <w:r w:rsidR="0077630D">
        <w:fldChar w:fldCharType="end"/>
      </w:r>
      <w:r w:rsidR="002A4ADB">
        <w:t>, it costs more in terms of overhead to use a short TTI compared to a long TTI. Hence a</w:t>
      </w:r>
      <w:r w:rsidR="007D65D7">
        <w:t xml:space="preserve">fter a while if the buffers are large, the user </w:t>
      </w:r>
      <w:r w:rsidR="001E2C19">
        <w:t xml:space="preserve">should be </w:t>
      </w:r>
      <w:r w:rsidR="0077630D">
        <w:t>switched to</w:t>
      </w:r>
      <w:r w:rsidR="00D918F9">
        <w:t xml:space="preserve"> </w:t>
      </w:r>
      <w:r w:rsidR="007D65D7">
        <w:t xml:space="preserve">1 ms TTIs to benefit from the higher spectral efficiency and free </w:t>
      </w:r>
      <w:r>
        <w:t xml:space="preserve">up </w:t>
      </w:r>
      <w:r w:rsidR="007D65D7">
        <w:t xml:space="preserve">the sTTI resources for use by other users. </w:t>
      </w:r>
    </w:p>
    <w:p w14:paraId="33417903" w14:textId="619AA8A3" w:rsidR="005865F8" w:rsidRDefault="00AC0D94" w:rsidP="003A5811">
      <w:r>
        <w:t xml:space="preserve">For reasons above and </w:t>
      </w:r>
      <w:r w:rsidR="0077630D">
        <w:t>for</w:t>
      </w:r>
      <w:r>
        <w:t xml:space="preserve"> increase</w:t>
      </w:r>
      <w:r w:rsidR="0077630D">
        <w:t>d</w:t>
      </w:r>
      <w:r>
        <w:t xml:space="preserve"> flexibility, the </w:t>
      </w:r>
      <w:r w:rsidR="005865F8">
        <w:t xml:space="preserve">eNB </w:t>
      </w:r>
      <w:r w:rsidR="007837F3">
        <w:t>requires</w:t>
      </w:r>
      <w:r w:rsidR="005865F8">
        <w:t xml:space="preserve"> the possibility to dynamically manage which users are served in each operation mode. </w:t>
      </w:r>
    </w:p>
    <w:p w14:paraId="22464923" w14:textId="087F1AAE" w:rsidR="00800F7C" w:rsidRPr="00CE0424" w:rsidRDefault="00800F7C" w:rsidP="00800F7C">
      <w:pPr>
        <w:pStyle w:val="Observation"/>
      </w:pPr>
      <w:bookmarkStart w:id="1" w:name="_Toc473703262"/>
      <w:bookmarkStart w:id="2" w:name="_Toc473704878"/>
      <w:bookmarkStart w:id="3" w:name="_Toc473738206"/>
      <w:bookmarkStart w:id="4" w:name="_Toc473738242"/>
      <w:bookmarkStart w:id="5" w:name="_Toc473738709"/>
      <w:bookmarkStart w:id="6" w:name="_Toc473817432"/>
      <w:bookmarkStart w:id="7" w:name="_Toc473905784"/>
      <w:bookmarkStart w:id="8" w:name="_Toc473908830"/>
      <w:r>
        <w:t>The eNB shall have the possibility to dynamically manage which users are served in each operation mode.</w:t>
      </w:r>
      <w:bookmarkEnd w:id="1"/>
      <w:bookmarkEnd w:id="2"/>
      <w:bookmarkEnd w:id="3"/>
      <w:bookmarkEnd w:id="4"/>
      <w:bookmarkEnd w:id="5"/>
      <w:bookmarkEnd w:id="6"/>
      <w:bookmarkEnd w:id="7"/>
      <w:bookmarkEnd w:id="8"/>
      <w:r>
        <w:t xml:space="preserve"> </w:t>
      </w:r>
    </w:p>
    <w:p w14:paraId="1F93C466" w14:textId="6CA98784" w:rsidR="004F5B05" w:rsidRDefault="004F5B05" w:rsidP="004F5B05">
      <w:r>
        <w:t>The processing time for short TTI is still being discussed, but likely it will be n+</w:t>
      </w:r>
      <w:r w:rsidR="006D0841">
        <w:t>k with k&gt; 4</w:t>
      </w:r>
      <w:r>
        <w:t xml:space="preserve"> for 2 os sTTIs, and n+4 for 7 os sTTIs (that is, </w:t>
      </w:r>
      <w:r w:rsidR="006D0841">
        <w:t>k</w:t>
      </w:r>
      <w:r>
        <w:t xml:space="preserve"> sTTIs between UL grant and UL data transmission and </w:t>
      </w:r>
      <w:r w:rsidR="006D0841">
        <w:t>k</w:t>
      </w:r>
      <w:r w:rsidR="00800F7C">
        <w:t xml:space="preserve"> sTTIs </w:t>
      </w:r>
      <w:r>
        <w:t>between DL data and UL UCI transmission</w:t>
      </w:r>
      <w:r w:rsidR="003231B5">
        <w:t xml:space="preserve"> for 2 os</w:t>
      </w:r>
      <w:r>
        <w:t xml:space="preserve">). </w:t>
      </w:r>
      <w:r w:rsidR="007837F3">
        <w:t>Also,</w:t>
      </w:r>
      <w:r>
        <w:t xml:space="preserve"> the number of HARQ processes (HPs) are being discussed and likely there will be up to 16 HPs for sTTI operation. </w:t>
      </w:r>
    </w:p>
    <w:p w14:paraId="5F3CAD25" w14:textId="430555F2" w:rsidR="009601EF" w:rsidRDefault="009601EF" w:rsidP="003A5811">
      <w:r>
        <w:t xml:space="preserve">Short TTIs and reduced processing time use asynchronous HARQ in UL and DL. </w:t>
      </w:r>
      <w:r w:rsidR="003C0FF3">
        <w:t>While</w:t>
      </w:r>
      <w:r w:rsidR="002A4ADB">
        <w:t xml:space="preserve">, </w:t>
      </w:r>
      <w:r w:rsidR="00800F7C">
        <w:t>per</w:t>
      </w:r>
      <w:r w:rsidR="002A4ADB">
        <w:t xml:space="preserve"> current LTE specifications,</w:t>
      </w:r>
      <w:r w:rsidR="003C0FF3">
        <w:t xml:space="preserve"> normal n+4 operation uses asynchronous HARQ for DL and synchronous HARQ for UL. </w:t>
      </w:r>
    </w:p>
    <w:p w14:paraId="50470A74" w14:textId="3EBF0379" w:rsidR="003231B5" w:rsidRDefault="001E7AFB" w:rsidP="006D4447">
      <w:r>
        <w:t xml:space="preserve">A simple </w:t>
      </w:r>
      <w:r w:rsidR="003231B5">
        <w:t xml:space="preserve">HARQ handling </w:t>
      </w:r>
      <w:r w:rsidR="00056B59">
        <w:t xml:space="preserve">for any switch </w:t>
      </w:r>
      <w:r>
        <w:t xml:space="preserve">would be to discard all HARQ information at the switch and trust RLC to do retransmission of the </w:t>
      </w:r>
      <w:r w:rsidR="00056B59">
        <w:t xml:space="preserve">HARQ </w:t>
      </w:r>
      <w:r>
        <w:t>data</w:t>
      </w:r>
      <w:r w:rsidR="00056B59">
        <w:t xml:space="preserve"> that was</w:t>
      </w:r>
      <w:r>
        <w:t xml:space="preserve"> lost</w:t>
      </w:r>
      <w:r w:rsidR="00056B59">
        <w:t>. This introduces a delay compared to do</w:t>
      </w:r>
      <w:r w:rsidR="003E666C">
        <w:t>ing regular HARQ retransmission</w:t>
      </w:r>
      <w:r w:rsidR="00056B59">
        <w:t xml:space="preserve">, and possibly reaching the maximum number of </w:t>
      </w:r>
      <w:r w:rsidR="003E666C">
        <w:t>RLC re</w:t>
      </w:r>
      <w:r w:rsidR="00056B59">
        <w:t>transmissions</w:t>
      </w:r>
      <w:r>
        <w:t>.</w:t>
      </w:r>
      <w:r w:rsidR="00056B59">
        <w:t xml:space="preserve"> </w:t>
      </w:r>
      <w:r w:rsidR="00E67FBD">
        <w:t xml:space="preserve">This will also affect the TCP, as some packets will be delayed. </w:t>
      </w:r>
    </w:p>
    <w:p w14:paraId="4169EEA1" w14:textId="32943065" w:rsidR="00586080" w:rsidRDefault="003231B5" w:rsidP="006D4447">
      <w:r>
        <w:t>A s</w:t>
      </w:r>
      <w:r w:rsidR="00DF6E4C">
        <w:t>imulation</w:t>
      </w:r>
      <w:r w:rsidR="00253C63">
        <w:t>,</w:t>
      </w:r>
      <w:r w:rsidR="00567839">
        <w:t xml:space="preserve"> </w:t>
      </w:r>
      <w:r w:rsidR="00586080">
        <w:t>with</w:t>
      </w:r>
      <w:r>
        <w:t xml:space="preserve"> 1 MB FTP download using 2 os sTTIs</w:t>
      </w:r>
      <w:r w:rsidR="00253C63">
        <w:t xml:space="preserve"> in DL and UL</w:t>
      </w:r>
      <w:r w:rsidR="00567839">
        <w:t xml:space="preserve"> and 12 HARQ processes in n+6 timing</w:t>
      </w:r>
      <w:r w:rsidR="00253C63">
        <w:t>,</w:t>
      </w:r>
      <w:r w:rsidR="00DF6E4C">
        <w:t xml:space="preserve"> have been </w:t>
      </w:r>
      <w:r w:rsidR="001F5FB8">
        <w:t xml:space="preserve">carried out to evaluate the impact of </w:t>
      </w:r>
      <w:r>
        <w:t xml:space="preserve">HARQ </w:t>
      </w:r>
      <w:r w:rsidR="001F5FB8">
        <w:t>data loss on TCP congestion window.</w:t>
      </w:r>
      <w:r w:rsidR="00DF6E4C">
        <w:t xml:space="preserve"> </w:t>
      </w:r>
      <w:r w:rsidR="001F5FB8">
        <w:t xml:space="preserve">Figure 1 shows </w:t>
      </w:r>
      <w:r>
        <w:t xml:space="preserve">one case </w:t>
      </w:r>
      <w:r w:rsidR="00253C63">
        <w:t xml:space="preserve">without any HARQ data loss (the black curve) and we compare to a case </w:t>
      </w:r>
      <w:r>
        <w:t xml:space="preserve">(the blue curve) </w:t>
      </w:r>
      <w:r w:rsidR="00253C63">
        <w:t xml:space="preserve">where </w:t>
      </w:r>
      <w:r>
        <w:t xml:space="preserve">we trigger a loss of all HARQ information </w:t>
      </w:r>
      <w:r w:rsidR="005E0060">
        <w:t>when</w:t>
      </w:r>
      <w:r>
        <w:t xml:space="preserve"> the TCP slow start has ended.</w:t>
      </w:r>
      <w:r w:rsidR="00253C63">
        <w:t xml:space="preserve"> </w:t>
      </w:r>
      <w:r w:rsidR="006D0841">
        <w:t xml:space="preserve">This models a switch of the TTI length from 2os TTI to 1ms TTI for the considered UE. </w:t>
      </w:r>
      <w:r w:rsidR="00253C63">
        <w:t>The first flat part after the HARQ loss is due to RLC retransmissions (reordering time out</w:t>
      </w:r>
      <w:r w:rsidR="00567839">
        <w:t xml:space="preserve">, or </w:t>
      </w:r>
      <w:r w:rsidR="00800F7C">
        <w:t xml:space="preserve">poll timer expires </w:t>
      </w:r>
      <w:r w:rsidR="00E67FBD">
        <w:t>need to</w:t>
      </w:r>
      <w:r w:rsidR="00800F7C">
        <w:t xml:space="preserve"> happen for RLC to discover the RLC packet loss</w:t>
      </w:r>
      <w:r w:rsidR="00253C63">
        <w:t xml:space="preserve">), the vertical part </w:t>
      </w:r>
      <w:r w:rsidR="00E67FBD">
        <w:t xml:space="preserve">is </w:t>
      </w:r>
      <w:r w:rsidR="00253C63">
        <w:t xml:space="preserve">many RLC packets </w:t>
      </w:r>
      <w:r w:rsidR="00E67FBD">
        <w:t xml:space="preserve">delivered </w:t>
      </w:r>
      <w:r w:rsidR="00253C63">
        <w:t xml:space="preserve">at the same time when out-standing RLC packets arrive, and the </w:t>
      </w:r>
      <w:r w:rsidR="00567839">
        <w:t xml:space="preserve">last flat part is due to TCP ACKs not arriving in time for new packets to be </w:t>
      </w:r>
      <w:r w:rsidR="00E67FBD">
        <w:t>transmitted from the TCP transmitter</w:t>
      </w:r>
      <w:r w:rsidR="00253C63">
        <w:t>. At the end of the file download we have lost about 25 ms due to the HARQ loss</w:t>
      </w:r>
      <w:r w:rsidR="00105739">
        <w:t xml:space="preserve">, the exact delay will of course be dependent on how much RLC data </w:t>
      </w:r>
      <w:r w:rsidR="00E67FBD">
        <w:t>must</w:t>
      </w:r>
      <w:r w:rsidR="00105739">
        <w:t xml:space="preserve"> be retransmitted and if it is the oldest or newest RLC packet that is retransmitted etc</w:t>
      </w:r>
      <w:r w:rsidR="00425256">
        <w:t xml:space="preserve">., the figure </w:t>
      </w:r>
      <w:r w:rsidR="00E67FBD">
        <w:t>represents</w:t>
      </w:r>
      <w:r w:rsidR="00425256">
        <w:t xml:space="preserve"> a typical</w:t>
      </w:r>
      <w:r w:rsidR="00E67FBD">
        <w:t xml:space="preserve"> delay but it can be worse</w:t>
      </w:r>
      <w:r w:rsidR="00253C63">
        <w:t>.</w:t>
      </w:r>
      <w:r w:rsidR="00586080">
        <w:t xml:space="preserve"> </w:t>
      </w:r>
    </w:p>
    <w:p w14:paraId="274038B9" w14:textId="07C882BD" w:rsidR="00056B59" w:rsidRDefault="001F5FB8" w:rsidP="006D4447">
      <w:r>
        <w:t xml:space="preserve">Based on these results and considering that the switching from short TTI to 1ms TTI and vice versa can happen dynamically (which is why the scheduler-level-switch </w:t>
      </w:r>
      <w:r w:rsidR="00A5621E">
        <w:t>was agreed in RAN1</w:t>
      </w:r>
      <w:r>
        <w:t>), data loss induced by the switching should be avoided.</w:t>
      </w:r>
    </w:p>
    <w:p w14:paraId="4AE65B1A" w14:textId="324C4C6D" w:rsidR="00567839" w:rsidRPr="00CE0424" w:rsidRDefault="00567839" w:rsidP="003231B5">
      <w:pPr>
        <w:pStyle w:val="Observation"/>
      </w:pPr>
      <w:bookmarkStart w:id="9" w:name="_Toc473677497"/>
      <w:bookmarkStart w:id="10" w:name="_Toc473682573"/>
      <w:bookmarkStart w:id="11" w:name="_Toc473683868"/>
      <w:bookmarkStart w:id="12" w:name="_Toc473685276"/>
      <w:bookmarkStart w:id="13" w:name="_Toc473685479"/>
      <w:bookmarkStart w:id="14" w:name="_Toc473695760"/>
      <w:bookmarkStart w:id="15" w:name="_Toc473702047"/>
      <w:bookmarkStart w:id="16" w:name="_Toc473702065"/>
      <w:bookmarkStart w:id="17" w:name="_Toc473702980"/>
      <w:bookmarkStart w:id="18" w:name="_Toc473703263"/>
      <w:bookmarkStart w:id="19" w:name="_Toc473704879"/>
      <w:bookmarkStart w:id="20" w:name="_Toc473738207"/>
      <w:bookmarkStart w:id="21" w:name="_Toc473738243"/>
      <w:bookmarkStart w:id="22" w:name="_Toc473738710"/>
      <w:bookmarkStart w:id="23" w:name="_Toc473817433"/>
      <w:bookmarkStart w:id="24" w:name="_Toc473905785"/>
      <w:bookmarkStart w:id="25" w:name="_Toc473908831"/>
      <w:r>
        <w:t>Discarding all HARQ information after a switch will lead to RLC retransmissions with higher delay and possibly data loss.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 xml:space="preserve"> </w:t>
      </w:r>
    </w:p>
    <w:p w14:paraId="58790D1B" w14:textId="126FFC59" w:rsidR="001F5FB8" w:rsidRDefault="001F5FB8" w:rsidP="006D4447"/>
    <w:tbl>
      <w:tblPr>
        <w:tblW w:w="10282" w:type="dxa"/>
        <w:tblLook w:val="04A0" w:firstRow="1" w:lastRow="0" w:firstColumn="1" w:lastColumn="0" w:noHBand="0" w:noVBand="1"/>
      </w:tblPr>
      <w:tblGrid>
        <w:gridCol w:w="10060"/>
        <w:gridCol w:w="222"/>
      </w:tblGrid>
      <w:tr w:rsidR="001F5FB8" w14:paraId="69776B83" w14:textId="77777777" w:rsidTr="006310ED">
        <w:trPr>
          <w:trHeight w:val="4442"/>
        </w:trPr>
        <w:tc>
          <w:tcPr>
            <w:tcW w:w="10130" w:type="dxa"/>
            <w:shd w:val="clear" w:color="auto" w:fill="auto"/>
          </w:tcPr>
          <w:p w14:paraId="17E286E4" w14:textId="4491F47A" w:rsidR="001F5FB8" w:rsidRPr="00C61246" w:rsidRDefault="00E671A3" w:rsidP="00740BA2">
            <w:pPr>
              <w:jc w:val="center"/>
              <w:rPr>
                <w:rFonts w:eastAsia="Calibri"/>
                <w:lang w:val="en-US" w:eastAsia="en-US"/>
              </w:rPr>
            </w:pPr>
            <w:r w:rsidRPr="00241351">
              <w:rPr>
                <w:noProof/>
                <w:lang w:eastAsia="ja-JP"/>
              </w:rPr>
              <w:lastRenderedPageBreak/>
              <w:drawing>
                <wp:inline distT="0" distB="0" distL="0" distR="0" wp14:anchorId="06ED3190" wp14:editId="2413B312">
                  <wp:extent cx="4124325" cy="3867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24325" cy="3867150"/>
                          </a:xfrm>
                          <a:prstGeom prst="rect">
                            <a:avLst/>
                          </a:prstGeom>
                          <a:noFill/>
                          <a:ln>
                            <a:noFill/>
                          </a:ln>
                        </pic:spPr>
                      </pic:pic>
                    </a:graphicData>
                  </a:graphic>
                </wp:inline>
              </w:drawing>
            </w:r>
          </w:p>
        </w:tc>
        <w:tc>
          <w:tcPr>
            <w:tcW w:w="152" w:type="dxa"/>
            <w:shd w:val="clear" w:color="auto" w:fill="auto"/>
          </w:tcPr>
          <w:p w14:paraId="685D9704" w14:textId="77777777" w:rsidR="001F5FB8" w:rsidRPr="00C61246" w:rsidRDefault="001F5FB8" w:rsidP="006310ED">
            <w:pPr>
              <w:keepNext/>
              <w:rPr>
                <w:rFonts w:eastAsia="Calibri"/>
                <w:lang w:val="en-US" w:eastAsia="en-US"/>
              </w:rPr>
            </w:pPr>
          </w:p>
        </w:tc>
      </w:tr>
    </w:tbl>
    <w:p w14:paraId="2564727C" w14:textId="0B624F02" w:rsidR="001F5FB8" w:rsidRDefault="001F5FB8" w:rsidP="001F5FB8">
      <w:pPr>
        <w:pStyle w:val="Caption"/>
      </w:pPr>
      <w:r>
        <w:t xml:space="preserve">Figure </w:t>
      </w:r>
      <w:r>
        <w:fldChar w:fldCharType="begin"/>
      </w:r>
      <w:r>
        <w:instrText xml:space="preserve"> SEQ Figure \* ARABIC </w:instrText>
      </w:r>
      <w:r>
        <w:fldChar w:fldCharType="separate"/>
      </w:r>
      <w:r w:rsidR="004513A6">
        <w:rPr>
          <w:noProof/>
        </w:rPr>
        <w:t>1</w:t>
      </w:r>
      <w:r>
        <w:fldChar w:fldCharType="end"/>
      </w:r>
      <w:r>
        <w:t xml:space="preserve"> TCP impact due to </w:t>
      </w:r>
      <w:r w:rsidR="005A58BB">
        <w:t xml:space="preserve">HARQ buffer loss </w:t>
      </w:r>
    </w:p>
    <w:p w14:paraId="516C3050" w14:textId="504E1AB6" w:rsidR="001E7AFB" w:rsidRDefault="001E7AFB" w:rsidP="006D4447">
      <w:r>
        <w:t xml:space="preserve">A softer </w:t>
      </w:r>
      <w:r w:rsidR="00056B59" w:rsidRPr="00056B59">
        <w:t xml:space="preserve">pre-emptive </w:t>
      </w:r>
      <w:r>
        <w:t xml:space="preserve">version </w:t>
      </w:r>
      <w:r w:rsidR="00056B59">
        <w:t>is</w:t>
      </w:r>
      <w:r>
        <w:t xml:space="preserve"> </w:t>
      </w:r>
      <w:r w:rsidR="009759A2">
        <w:t>for</w:t>
      </w:r>
      <w:r>
        <w:t xml:space="preserve"> the eNB</w:t>
      </w:r>
      <w:r w:rsidR="00056B59">
        <w:t>,</w:t>
      </w:r>
      <w:r>
        <w:t xml:space="preserve"> </w:t>
      </w:r>
      <w:r w:rsidR="009759A2">
        <w:t>after deciding</w:t>
      </w:r>
      <w:r w:rsidR="000E7633">
        <w:t xml:space="preserve"> to send a</w:t>
      </w:r>
      <w:r>
        <w:t xml:space="preserve"> 1 ms grant to the UE, </w:t>
      </w:r>
      <w:r w:rsidR="009759A2">
        <w:t xml:space="preserve">to </w:t>
      </w:r>
      <w:r>
        <w:t xml:space="preserve">use all remaining sTTIs until the </w:t>
      </w:r>
      <w:r w:rsidR="00105739">
        <w:t>switch</w:t>
      </w:r>
      <w:r>
        <w:t xml:space="preserve"> to </w:t>
      </w:r>
      <w:r w:rsidR="002F7DAB">
        <w:t xml:space="preserve">make </w:t>
      </w:r>
      <w:r>
        <w:t>retransmission and not</w:t>
      </w:r>
      <w:r w:rsidR="009759A2">
        <w:t xml:space="preserve"> send any new data on the</w:t>
      </w:r>
      <w:r>
        <w:t xml:space="preserve"> sTTI</w:t>
      </w:r>
      <w:r w:rsidR="009759A2">
        <w:t>s</w:t>
      </w:r>
      <w:r w:rsidR="00056B59">
        <w:t xml:space="preserve">. For DL this means waiting with the switch and for UL it can mean not using all possible UL transmission opportunities for UL transmissions, thus extra delay is introduced. </w:t>
      </w:r>
    </w:p>
    <w:p w14:paraId="1850E75F" w14:textId="0B224753" w:rsidR="009759A2" w:rsidRPr="00CE0424" w:rsidRDefault="00102F47" w:rsidP="009759A2">
      <w:pPr>
        <w:pStyle w:val="Observation"/>
      </w:pPr>
      <w:bookmarkStart w:id="26" w:name="_Toc471955591"/>
      <w:bookmarkStart w:id="27" w:name="_Toc472091647"/>
      <w:bookmarkStart w:id="28" w:name="_Toc472091761"/>
      <w:bookmarkStart w:id="29" w:name="_Toc473124194"/>
      <w:bookmarkStart w:id="30" w:name="_Toc473126526"/>
      <w:bookmarkStart w:id="31" w:name="_Toc473126995"/>
      <w:bookmarkStart w:id="32" w:name="_Toc473127105"/>
      <w:bookmarkStart w:id="33" w:name="_Toc473127800"/>
      <w:bookmarkStart w:id="34" w:name="_Toc473133710"/>
      <w:bookmarkStart w:id="35" w:name="_Toc473133964"/>
      <w:bookmarkStart w:id="36" w:name="_Toc473134091"/>
      <w:bookmarkStart w:id="37" w:name="_Toc473154509"/>
      <w:bookmarkStart w:id="38" w:name="_Toc473156485"/>
      <w:bookmarkStart w:id="39" w:name="_Toc473677498"/>
      <w:bookmarkStart w:id="40" w:name="_Toc473682574"/>
      <w:bookmarkStart w:id="41" w:name="_Toc473683869"/>
      <w:bookmarkStart w:id="42" w:name="_Toc473685277"/>
      <w:bookmarkStart w:id="43" w:name="_Toc473685480"/>
      <w:bookmarkStart w:id="44" w:name="_Toc473695761"/>
      <w:bookmarkStart w:id="45" w:name="_Toc473702048"/>
      <w:bookmarkStart w:id="46" w:name="_Toc473702066"/>
      <w:bookmarkStart w:id="47" w:name="_Toc473702981"/>
      <w:bookmarkStart w:id="48" w:name="_Toc473703264"/>
      <w:bookmarkStart w:id="49" w:name="_Toc473704880"/>
      <w:bookmarkStart w:id="50" w:name="_Toc473905786"/>
      <w:bookmarkStart w:id="51" w:name="_Toc473908832"/>
      <w:bookmarkStart w:id="52" w:name="_Toc473738208"/>
      <w:bookmarkStart w:id="53" w:name="_Toc473738244"/>
      <w:bookmarkStart w:id="54" w:name="_Toc473738711"/>
      <w:bookmarkStart w:id="55" w:name="_Toc473817434"/>
      <w:r>
        <w:t>Waiting for all sTTI HARQ transmissions to finish</w:t>
      </w:r>
      <w:r w:rsidR="00AC333B">
        <w:t xml:space="preserve"> </w:t>
      </w:r>
      <w:r w:rsidR="002F7DAB">
        <w:t xml:space="preserve">before </w:t>
      </w:r>
      <w:r w:rsidR="009759A2">
        <w:t>a switch will lead to higher delay.</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009759A2">
        <w:t xml:space="preserve"> </w:t>
      </w:r>
    </w:p>
    <w:p w14:paraId="4E2C0749" w14:textId="6540B373" w:rsidR="003E666C" w:rsidRDefault="00C131D4" w:rsidP="007D06F9">
      <w:r>
        <w:t xml:space="preserve">For a loss </w:t>
      </w:r>
      <w:bookmarkStart w:id="56" w:name="_GoBack"/>
      <w:bookmarkEnd w:id="56"/>
      <w:r w:rsidR="007D06F9">
        <w:t xml:space="preserve">less fast switch, no information shall be lost on HARQ level and all HARQ processes shall be possible to use after the switch. Thus, loss less switching implies that all HPs can be retransmitted after a switch. </w:t>
      </w:r>
    </w:p>
    <w:p w14:paraId="754C60D7" w14:textId="165DF3F7" w:rsidR="003E666C" w:rsidRPr="00CE0424" w:rsidRDefault="00025990" w:rsidP="003E666C">
      <w:pPr>
        <w:pStyle w:val="Observation"/>
      </w:pPr>
      <w:bookmarkStart w:id="57" w:name="_Toc473703265"/>
      <w:bookmarkStart w:id="58" w:name="_Toc473704881"/>
      <w:bookmarkStart w:id="59" w:name="_Toc473738209"/>
      <w:bookmarkStart w:id="60" w:name="_Toc473738245"/>
      <w:bookmarkStart w:id="61" w:name="_Toc473738712"/>
      <w:bookmarkStart w:id="62" w:name="_Toc473817435"/>
      <w:bookmarkStart w:id="63" w:name="_Toc473124196"/>
      <w:bookmarkStart w:id="64" w:name="_Toc473126527"/>
      <w:bookmarkStart w:id="65" w:name="_Toc473126996"/>
      <w:bookmarkStart w:id="66" w:name="_Toc473127106"/>
      <w:bookmarkStart w:id="67" w:name="_Toc473127801"/>
      <w:bookmarkStart w:id="68" w:name="_Toc473133711"/>
      <w:bookmarkStart w:id="69" w:name="_Toc473133965"/>
      <w:bookmarkStart w:id="70" w:name="_Toc473134092"/>
      <w:bookmarkStart w:id="71" w:name="_Toc473154510"/>
      <w:bookmarkStart w:id="72" w:name="_Toc473156486"/>
      <w:bookmarkStart w:id="73" w:name="_Toc473677499"/>
      <w:bookmarkStart w:id="74" w:name="_Toc473682575"/>
      <w:bookmarkStart w:id="75" w:name="_Toc473683870"/>
      <w:bookmarkStart w:id="76" w:name="_Toc473685278"/>
      <w:bookmarkStart w:id="77" w:name="_Toc473685481"/>
      <w:bookmarkStart w:id="78" w:name="_Toc473695762"/>
      <w:bookmarkStart w:id="79" w:name="_Toc473702049"/>
      <w:bookmarkStart w:id="80" w:name="_Toc473702067"/>
      <w:bookmarkStart w:id="81" w:name="_Toc473702982"/>
      <w:bookmarkStart w:id="82" w:name="_Toc473905787"/>
      <w:bookmarkStart w:id="83" w:name="_Toc473908833"/>
      <w:r>
        <w:t>Addressing all HPs after any switch</w:t>
      </w:r>
      <w:r w:rsidR="005641C7">
        <w:t xml:space="preserve"> between 2 os, 7 os, n+3 </w:t>
      </w:r>
      <w:r w:rsidR="008769E7">
        <w:t>or</w:t>
      </w:r>
      <w:r>
        <w:t xml:space="preserve"> n+4 is necessary for loss</w:t>
      </w:r>
      <w:r w:rsidR="00064E9B">
        <w:t>-</w:t>
      </w:r>
      <w:r>
        <w:t>less HARQ handling</w:t>
      </w:r>
      <w:bookmarkEnd w:id="57"/>
      <w:bookmarkEnd w:id="58"/>
      <w:bookmarkEnd w:id="59"/>
      <w:bookmarkEnd w:id="60"/>
      <w:bookmarkEnd w:id="61"/>
      <w:bookmarkEnd w:id="62"/>
      <w:r>
        <w:t xml:space="preserve"> </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261F512" w14:textId="36C1FBDB" w:rsidR="009515CA" w:rsidRDefault="009515CA" w:rsidP="009515CA">
      <w:r>
        <w:t xml:space="preserve">In case the HP number uses only three bits in n+3 and n+4, then 16 HPs </w:t>
      </w:r>
      <w:r w:rsidR="009C3F0A">
        <w:t>should</w:t>
      </w:r>
      <w:r>
        <w:t xml:space="preserve"> be mapped onto 8 HPs</w:t>
      </w:r>
      <w:r w:rsidR="009C3F0A">
        <w:t xml:space="preserve"> which is not possible </w:t>
      </w:r>
      <w:r w:rsidR="00474B77">
        <w:t xml:space="preserve">without complex mappings such as </w:t>
      </w:r>
      <w:r w:rsidR="009C3F0A">
        <w:t>map</w:t>
      </w:r>
      <w:r w:rsidR="00474B77">
        <w:t>ping</w:t>
      </w:r>
      <w:r w:rsidR="009C3F0A">
        <w:t xml:space="preserve"> every second HARQ RTT to </w:t>
      </w:r>
      <w:r w:rsidR="00474B77">
        <w:t>either first or second eight HPs</w:t>
      </w:r>
      <w:r>
        <w:t xml:space="preserve">. This is less flexible and can result in extra delay if a retransmission must wait until the next time the HP is mapped. </w:t>
      </w:r>
    </w:p>
    <w:p w14:paraId="43038EBA" w14:textId="77777777" w:rsidR="009515CA" w:rsidRPr="00CE0424" w:rsidRDefault="009515CA" w:rsidP="009515CA">
      <w:pPr>
        <w:pStyle w:val="Observation"/>
      </w:pPr>
      <w:bookmarkStart w:id="84" w:name="_Toc473817436"/>
      <w:bookmarkStart w:id="85" w:name="_Toc473905788"/>
      <w:bookmarkStart w:id="86" w:name="_Toc473908834"/>
      <w:r>
        <w:t>Using only three bits for signalling HARQ process number in n+3/n+4 operation is less flexible and can result in longer delays.</w:t>
      </w:r>
      <w:bookmarkEnd w:id="84"/>
      <w:r>
        <w:t xml:space="preserve"> </w:t>
      </w:r>
      <w:bookmarkEnd w:id="85"/>
      <w:bookmarkEnd w:id="86"/>
    </w:p>
    <w:p w14:paraId="32B5AF1C" w14:textId="167790FF" w:rsidR="007D06F9" w:rsidRDefault="008769E7" w:rsidP="007D06F9">
      <w:r>
        <w:t xml:space="preserve">Retransmission of a few HPs out of 16 possible HPs in 1 ms </w:t>
      </w:r>
      <w:r w:rsidR="00AC333B">
        <w:t xml:space="preserve">TTI </w:t>
      </w:r>
      <w:r>
        <w:t>operation will be flexible and have lower delay if they can be selected in any order.</w:t>
      </w:r>
      <w:r w:rsidR="00D36AB6">
        <w:t xml:space="preserve"> Retransmissions on sTTIs might not be sensible if the first transmission was done with a large transport block size</w:t>
      </w:r>
      <w:r>
        <w:t xml:space="preserve"> </w:t>
      </w:r>
      <w:r w:rsidR="00D36AB6">
        <w:t xml:space="preserve">on a 1 ms TTI. </w:t>
      </w:r>
      <w:r w:rsidR="00696E60">
        <w:t xml:space="preserve">To minimize delays after a switch, it is beneficial if any HP can be transmitted in each TTI, that is, in an asynchronous way. </w:t>
      </w:r>
    </w:p>
    <w:p w14:paraId="1EC8AB60" w14:textId="7E341986" w:rsidR="007D06F9" w:rsidRDefault="005A58BB" w:rsidP="007D06F9">
      <w:pPr>
        <w:pStyle w:val="Observation"/>
      </w:pPr>
      <w:bookmarkStart w:id="87" w:name="_Toc473703266"/>
      <w:bookmarkStart w:id="88" w:name="_Toc473704882"/>
      <w:bookmarkStart w:id="89" w:name="_Toc473738210"/>
      <w:bookmarkStart w:id="90" w:name="_Toc473738246"/>
      <w:bookmarkStart w:id="91" w:name="_Toc473738713"/>
      <w:bookmarkStart w:id="92" w:name="_Toc473817437"/>
      <w:bookmarkStart w:id="93" w:name="_Toc473124195"/>
      <w:bookmarkStart w:id="94" w:name="_Toc473126528"/>
      <w:bookmarkStart w:id="95" w:name="_Toc473126997"/>
      <w:bookmarkStart w:id="96" w:name="_Toc473127107"/>
      <w:bookmarkStart w:id="97" w:name="_Toc473127802"/>
      <w:bookmarkStart w:id="98" w:name="_Toc473133712"/>
      <w:bookmarkStart w:id="99" w:name="_Toc473133966"/>
      <w:bookmarkStart w:id="100" w:name="_Toc473134093"/>
      <w:bookmarkStart w:id="101" w:name="_Toc473154511"/>
      <w:bookmarkStart w:id="102" w:name="_Toc473156487"/>
      <w:bookmarkStart w:id="103" w:name="_Toc473677500"/>
      <w:bookmarkStart w:id="104" w:name="_Toc473682576"/>
      <w:bookmarkStart w:id="105" w:name="_Toc473683871"/>
      <w:bookmarkStart w:id="106" w:name="_Toc473685279"/>
      <w:bookmarkStart w:id="107" w:name="_Toc473685482"/>
      <w:bookmarkStart w:id="108" w:name="_Toc473695763"/>
      <w:bookmarkStart w:id="109" w:name="_Toc473702050"/>
      <w:bookmarkStart w:id="110" w:name="_Toc473702068"/>
      <w:bookmarkStart w:id="111" w:name="_Toc473702983"/>
      <w:bookmarkStart w:id="112" w:name="_Toc473905789"/>
      <w:bookmarkStart w:id="113" w:name="_Toc473908835"/>
      <w:r>
        <w:t>Asynchronous UL HARQ after a switch between 2 os, 7 os, n+3, or n+4 gives a flexible switch with lower delay of user data.</w:t>
      </w:r>
      <w:bookmarkEnd w:id="87"/>
      <w:bookmarkEnd w:id="88"/>
      <w:bookmarkEnd w:id="89"/>
      <w:bookmarkEnd w:id="90"/>
      <w:bookmarkEnd w:id="91"/>
      <w:bookmarkEnd w:id="92"/>
      <w:r>
        <w:t xml:space="preserve"> </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682E4A7E" w14:textId="57D46459" w:rsidR="00763E8C" w:rsidRDefault="00763E8C" w:rsidP="003A5811"/>
    <w:p w14:paraId="2FB43656" w14:textId="2FC43892" w:rsidR="00EF34B6" w:rsidRDefault="00EF34B6" w:rsidP="00EF34B6">
      <w:pPr>
        <w:pStyle w:val="Proposal"/>
      </w:pPr>
      <w:bookmarkStart w:id="114" w:name="_Toc473677509"/>
      <w:bookmarkStart w:id="115" w:name="_Toc473682598"/>
      <w:bookmarkStart w:id="116" w:name="_Toc473683883"/>
      <w:bookmarkStart w:id="117" w:name="_Toc473685289"/>
      <w:bookmarkStart w:id="118" w:name="_Toc473685492"/>
      <w:bookmarkStart w:id="119" w:name="_Toc473695773"/>
      <w:bookmarkStart w:id="120" w:name="_Toc473702060"/>
      <w:bookmarkStart w:id="121" w:name="_Toc473702078"/>
      <w:bookmarkStart w:id="122" w:name="_Toc473702993"/>
      <w:bookmarkStart w:id="123" w:name="_Toc473703273"/>
      <w:bookmarkStart w:id="124" w:name="_Toc473704889"/>
      <w:bookmarkStart w:id="125" w:name="_Toc473738217"/>
      <w:bookmarkStart w:id="126" w:name="_Toc473738253"/>
      <w:bookmarkStart w:id="127" w:name="_Toc473738719"/>
      <w:bookmarkStart w:id="128" w:name="_Toc473817439"/>
      <w:bookmarkStart w:id="129" w:name="_Toc473905798"/>
      <w:bookmarkStart w:id="130" w:name="_Toc473908844"/>
      <w:r>
        <w:t>For loss</w:t>
      </w:r>
      <w:r w:rsidR="00073B6D">
        <w:t>-</w:t>
      </w:r>
      <w:r>
        <w:t>less switching, support the same number of HARQ processes in sTTI, n+3 and n+4 operation.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t xml:space="preserve"> </w:t>
      </w:r>
    </w:p>
    <w:p w14:paraId="73E31692" w14:textId="77777777" w:rsidR="009515CA" w:rsidRDefault="009515CA" w:rsidP="009515CA">
      <w:r>
        <w:lastRenderedPageBreak/>
        <w:t xml:space="preserve">If the HARQ process number uses four bits in RPT n+3, we can address all HARQ processes (HPs) after a switch. Loss less switching is then possible without any further changes by addressing the HPs one at a time. </w:t>
      </w:r>
    </w:p>
    <w:p w14:paraId="69E5D3B3" w14:textId="15BAFB81" w:rsidR="009515CA" w:rsidRDefault="009515CA" w:rsidP="009515CA">
      <w:pPr>
        <w:pStyle w:val="Observation"/>
      </w:pPr>
      <w:bookmarkStart w:id="131" w:name="_Toc473817438"/>
      <w:bookmarkStart w:id="132" w:name="_Toc473905790"/>
      <w:bookmarkStart w:id="133" w:name="_Toc473908836"/>
      <w:r>
        <w:t>Loss</w:t>
      </w:r>
      <w:r w:rsidR="00073B6D">
        <w:t>-</w:t>
      </w:r>
      <w:r>
        <w:t>less switching from sTTIs to 1 ms TTIs is enabled by n+3/n+4 using four bits for HARQ process number and the UEs using 16 HPs in asynchronous n+3/n+4 operation.</w:t>
      </w:r>
      <w:bookmarkEnd w:id="131"/>
      <w:bookmarkEnd w:id="132"/>
      <w:bookmarkEnd w:id="133"/>
      <w:r>
        <w:t xml:space="preserve"> </w:t>
      </w:r>
    </w:p>
    <w:p w14:paraId="764DF16E" w14:textId="77777777" w:rsidR="009515CA" w:rsidRDefault="009515CA" w:rsidP="00740BA2"/>
    <w:p w14:paraId="2F954ECB" w14:textId="414F3BC3" w:rsidR="00EF34B6" w:rsidRPr="00A04F49" w:rsidRDefault="00EF34B6" w:rsidP="00EF34B6">
      <w:pPr>
        <w:pStyle w:val="Proposal"/>
      </w:pPr>
      <w:bookmarkStart w:id="134" w:name="_Toc473677510"/>
      <w:bookmarkStart w:id="135" w:name="_Toc473682599"/>
      <w:bookmarkStart w:id="136" w:name="_Toc473683884"/>
      <w:bookmarkStart w:id="137" w:name="_Toc473685290"/>
      <w:bookmarkStart w:id="138" w:name="_Toc473685493"/>
      <w:bookmarkStart w:id="139" w:name="_Toc473695774"/>
      <w:bookmarkStart w:id="140" w:name="_Toc473702061"/>
      <w:bookmarkStart w:id="141" w:name="_Toc473702079"/>
      <w:bookmarkStart w:id="142" w:name="_Toc473702994"/>
      <w:bookmarkStart w:id="143" w:name="_Toc473703274"/>
      <w:bookmarkStart w:id="144" w:name="_Toc473704890"/>
      <w:bookmarkStart w:id="145" w:name="_Toc473738218"/>
      <w:bookmarkStart w:id="146" w:name="_Toc473738254"/>
      <w:bookmarkStart w:id="147" w:name="_Toc473738720"/>
      <w:bookmarkStart w:id="148" w:name="_Toc473817440"/>
      <w:bookmarkStart w:id="149" w:name="_Toc473905799"/>
      <w:bookmarkStart w:id="150" w:name="_Toc473908845"/>
      <w:r>
        <w:t>For loss</w:t>
      </w:r>
      <w:r w:rsidR="00073B6D">
        <w:t>-</w:t>
      </w:r>
      <w:r>
        <w:t>less switching, introduce asynchronous UL HARQ for n+4 operation.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t xml:space="preserve"> </w:t>
      </w:r>
    </w:p>
    <w:p w14:paraId="3DC0259D" w14:textId="0CCBD940" w:rsidR="0077630D" w:rsidRDefault="0077630D" w:rsidP="0077630D"/>
    <w:p w14:paraId="7E690B51" w14:textId="068130F4" w:rsidR="00C01F33" w:rsidRPr="00CE0424" w:rsidRDefault="00C01F33" w:rsidP="00CE0424">
      <w:pPr>
        <w:pStyle w:val="Heading1"/>
      </w:pPr>
      <w:r w:rsidRPr="00CE0424">
        <w:t>Conclusion</w:t>
      </w:r>
      <w:r w:rsidR="00B23F0D">
        <w:t xml:space="preserve"> </w:t>
      </w:r>
    </w:p>
    <w:p w14:paraId="2CA6AA6F" w14:textId="7BE8C60C" w:rsidR="00FC5662" w:rsidRDefault="008E065E">
      <w:pPr>
        <w:pStyle w:val="TOC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513A6">
        <w:t>2</w:t>
      </w:r>
      <w:r w:rsidRPr="00CE0424">
        <w:rPr>
          <w:highlight w:val="cyan"/>
        </w:rPr>
        <w:fldChar w:fldCharType="end"/>
      </w:r>
      <w:r w:rsidRPr="00CE0424">
        <w:t xml:space="preserve"> we </w:t>
      </w:r>
      <w:r>
        <w:t>made the following observations</w:t>
      </w:r>
      <w:r w:rsidRPr="00CE0424">
        <w:t>:</w:t>
      </w:r>
    </w:p>
    <w:p w14:paraId="036E0CCB" w14:textId="77777777" w:rsidR="004513A6" w:rsidRDefault="008E065E">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\t "Observation;1" </w:instrText>
      </w:r>
      <w:r>
        <w:rPr>
          <w:b w:val="0"/>
          <w:bCs/>
        </w:rPr>
        <w:fldChar w:fldCharType="separate"/>
      </w:r>
      <w:r w:rsidR="004513A6">
        <w:t>Observation 1</w:t>
      </w:r>
      <w:r w:rsidR="004513A6">
        <w:rPr>
          <w:rFonts w:asciiTheme="minorHAnsi" w:eastAsiaTheme="minorEastAsia" w:hAnsiTheme="minorHAnsi" w:cstheme="minorBidi"/>
          <w:b w:val="0"/>
          <w:sz w:val="22"/>
          <w:lang w:eastAsia="en-US"/>
        </w:rPr>
        <w:tab/>
      </w:r>
      <w:r w:rsidR="004513A6">
        <w:t>The eNB shall have the possibility to dynamically manage which users are served in each operation mode.</w:t>
      </w:r>
    </w:p>
    <w:p w14:paraId="2FED68CA" w14:textId="77777777" w:rsidR="004513A6" w:rsidRDefault="004513A6">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Discarding all HARQ information after a switch will lead to RLC retransmissions with higher delay and possibly data loss.</w:t>
      </w:r>
    </w:p>
    <w:p w14:paraId="41D9EB31" w14:textId="77777777" w:rsidR="004513A6" w:rsidRDefault="004513A6">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Waiting for all sTTI HARQ transmissions to finish before a switch will lead to higher delay.</w:t>
      </w:r>
    </w:p>
    <w:p w14:paraId="6020A086" w14:textId="77777777" w:rsidR="004513A6" w:rsidRDefault="004513A6">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 xml:space="preserve">Addressing all HPs after any switch between 2 os, 7 os, n+3 or n+4 is necessary for loss-less HARQ handling </w:t>
      </w:r>
    </w:p>
    <w:p w14:paraId="5EBB19D5" w14:textId="77777777" w:rsidR="004513A6" w:rsidRDefault="004513A6">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 xml:space="preserve">Using only three bits for signalling HARQ process number in n+3/n+4 operation is less flexible and can result in longer delays. </w:t>
      </w:r>
    </w:p>
    <w:p w14:paraId="4ADAE276" w14:textId="77777777" w:rsidR="004513A6" w:rsidRDefault="004513A6">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 xml:space="preserve">Asynchronous UL HARQ after a switch between 2 os, 7 os, n+3, or n+4 gives a flexible switch with lower delay of user data. </w:t>
      </w:r>
    </w:p>
    <w:p w14:paraId="4A2E99CA" w14:textId="77777777" w:rsidR="004513A6" w:rsidRDefault="004513A6">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Loss-less switching from sTTIs to 1 ms TTIs is enabled by n+3/n+4 using four bits for HARQ process number and the UEs using 16 HPs in asynchronous n+3/n+4 operation.</w:t>
      </w:r>
    </w:p>
    <w:p w14:paraId="5C342F4B" w14:textId="77777777" w:rsidR="008E065E" w:rsidRDefault="008E065E" w:rsidP="008E065E">
      <w:pPr>
        <w:pStyle w:val="BodyText"/>
        <w:rPr>
          <w:b/>
          <w:bCs/>
        </w:rPr>
      </w:pPr>
      <w:r>
        <w:rPr>
          <w:b/>
          <w:bCs/>
        </w:rPr>
        <w:fldChar w:fldCharType="end"/>
      </w:r>
    </w:p>
    <w:p w14:paraId="77B403AC" w14:textId="2DE1B500" w:rsidR="00E42CD0" w:rsidRDefault="008E065E">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513A6">
        <w:t>2</w:t>
      </w:r>
      <w:r w:rsidRPr="00CE0424">
        <w:rPr>
          <w:highlight w:val="cyan"/>
        </w:rPr>
        <w:fldChar w:fldCharType="end"/>
      </w:r>
      <w:r w:rsidRPr="00CE0424">
        <w:t xml:space="preserve"> we propose the following:</w:t>
      </w:r>
    </w:p>
    <w:p w14:paraId="51971E23" w14:textId="77777777" w:rsidR="004513A6" w:rsidRDefault="008E065E">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4513A6">
        <w:t>Proposal 1</w:t>
      </w:r>
      <w:r w:rsidR="004513A6">
        <w:rPr>
          <w:rFonts w:asciiTheme="minorHAnsi" w:eastAsiaTheme="minorEastAsia" w:hAnsiTheme="minorHAnsi" w:cstheme="minorBidi"/>
          <w:b w:val="0"/>
          <w:sz w:val="22"/>
          <w:lang w:eastAsia="en-US"/>
        </w:rPr>
        <w:tab/>
      </w:r>
      <w:r w:rsidR="004513A6">
        <w:t>For loss-less switching, support the same number of HARQ processes in sTTI, n+3 and n+4 operation.</w:t>
      </w:r>
    </w:p>
    <w:p w14:paraId="2D6C08AC" w14:textId="77777777" w:rsidR="004513A6" w:rsidRDefault="004513A6">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For loss-less switching, introduce asynchronous UL HARQ for n+4 operation.</w:t>
      </w:r>
    </w:p>
    <w:p w14:paraId="0C30B33E" w14:textId="77777777" w:rsidR="00311702" w:rsidRPr="00D04434" w:rsidRDefault="008E065E" w:rsidP="00AB0BC8">
      <w:pPr>
        <w:rPr>
          <w:b/>
          <w:bCs/>
        </w:rPr>
      </w:pPr>
      <w:r>
        <w:rPr>
          <w:b/>
          <w:bCs/>
        </w:rPr>
        <w:fldChar w:fldCharType="end"/>
      </w:r>
    </w:p>
    <w:p w14:paraId="43591C01" w14:textId="77777777" w:rsidR="00C01F33" w:rsidRPr="00CE0424" w:rsidRDefault="00C01F33" w:rsidP="006E062C"/>
    <w:p w14:paraId="4C9431F6" w14:textId="38385395" w:rsidR="00F507D1" w:rsidRPr="00CE0424" w:rsidRDefault="00F507D1" w:rsidP="00CE0424">
      <w:pPr>
        <w:pStyle w:val="Heading1"/>
      </w:pPr>
      <w:bookmarkStart w:id="151" w:name="_In-sequence_SDU_delivery"/>
      <w:bookmarkEnd w:id="151"/>
      <w:r w:rsidRPr="00CE0424">
        <w:t>References</w:t>
      </w:r>
      <w:r w:rsidR="00B23F0D">
        <w:t xml:space="preserve"> </w:t>
      </w:r>
    </w:p>
    <w:p w14:paraId="6C4D9297" w14:textId="2E36967E" w:rsidR="005F3025" w:rsidRPr="00CE0424" w:rsidRDefault="007111EC" w:rsidP="00311702">
      <w:pPr>
        <w:pStyle w:val="Reference"/>
      </w:pPr>
      <w:bookmarkStart w:id="152" w:name="_Ref449678105"/>
      <w:bookmarkStart w:id="153" w:name="_Ref473685411"/>
      <w:bookmarkStart w:id="154" w:name="_Ref174151459"/>
      <w:bookmarkStart w:id="155" w:name="_Ref189809556"/>
      <w:r>
        <w:t xml:space="preserve">RP-162014, </w:t>
      </w:r>
      <w:r w:rsidRPr="00463950">
        <w:t>Revised Work Item on shortened TTI and processing time for LTE</w:t>
      </w:r>
      <w:r>
        <w:t>, Ericsson, RAN#74, December 2016</w:t>
      </w:r>
      <w:bookmarkEnd w:id="152"/>
      <w:bookmarkEnd w:id="153"/>
    </w:p>
    <w:p w14:paraId="76FD9E18" w14:textId="7F3832CA" w:rsidR="005F3025" w:rsidRPr="00CE0424" w:rsidRDefault="0077630D" w:rsidP="00311702">
      <w:pPr>
        <w:pStyle w:val="Reference"/>
      </w:pPr>
      <w:bookmarkStart w:id="156" w:name="_Ref458437688"/>
      <w:bookmarkStart w:id="157" w:name="_Ref473701798"/>
      <w:r>
        <w:t>3GPP TR 36.881</w:t>
      </w:r>
      <w:bookmarkEnd w:id="156"/>
      <w:r w:rsidRPr="002C2FF0">
        <w:rPr>
          <w:rFonts w:cs="Arial"/>
          <w:bCs/>
          <w:noProof/>
          <w:szCs w:val="18"/>
          <w:lang w:val="en-US"/>
        </w:rPr>
        <w:t xml:space="preserve"> </w:t>
      </w:r>
      <w:r w:rsidRPr="00A80662">
        <w:rPr>
          <w:rFonts w:cs="Arial"/>
          <w:bCs/>
          <w:noProof/>
          <w:szCs w:val="18"/>
          <w:lang w:val="en-US"/>
        </w:rPr>
        <w:t>v1.0.0,</w:t>
      </w:r>
      <w:r>
        <w:tab/>
        <w:t>Study on latency reduction techniques for LTE</w:t>
      </w:r>
      <w:bookmarkEnd w:id="157"/>
    </w:p>
    <w:bookmarkEnd w:id="154"/>
    <w:bookmarkEnd w:id="155"/>
    <w:p w14:paraId="7AA6E6A4" w14:textId="77777777" w:rsidR="003A7EF3" w:rsidRPr="00CE0424" w:rsidRDefault="003A7EF3" w:rsidP="00CE0424">
      <w:pPr>
        <w:pStyle w:val="BodyText"/>
      </w:pPr>
    </w:p>
    <w:sectPr w:rsidR="003A7EF3" w:rsidRPr="00CE042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D2A8FF" w14:textId="77777777" w:rsidR="00996D5A" w:rsidRDefault="00996D5A">
      <w:r>
        <w:separator/>
      </w:r>
    </w:p>
  </w:endnote>
  <w:endnote w:type="continuationSeparator" w:id="0">
    <w:p w14:paraId="2FB73456" w14:textId="77777777" w:rsidR="00996D5A" w:rsidRDefault="00996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宋体">
    <w:charset w:val="86"/>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6BDE5" w14:textId="6B940EE2" w:rsidR="009515CA" w:rsidRDefault="009515C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131D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131D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F901D4" w14:textId="77777777" w:rsidR="00996D5A" w:rsidRDefault="00996D5A">
      <w:r>
        <w:separator/>
      </w:r>
    </w:p>
  </w:footnote>
  <w:footnote w:type="continuationSeparator" w:id="0">
    <w:p w14:paraId="77A2296F" w14:textId="77777777" w:rsidR="00996D5A" w:rsidRDefault="00996D5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8BC02D" w14:textId="77777777" w:rsidR="009515CA" w:rsidRDefault="009515C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AD6C26"/>
    <w:multiLevelType w:val="hybridMultilevel"/>
    <w:tmpl w:val="E9C0307C"/>
    <w:lvl w:ilvl="0" w:tplc="DC788C32">
      <w:start w:val="2017"/>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43A51A8"/>
    <w:multiLevelType w:val="hybridMultilevel"/>
    <w:tmpl w:val="E51E6C46"/>
    <w:lvl w:ilvl="0" w:tplc="F8848860">
      <w:start w:val="129"/>
      <w:numFmt w:val="bullet"/>
      <w:lvlText w:val="-"/>
      <w:lvlJc w:val="left"/>
      <w:pPr>
        <w:ind w:left="1619" w:hanging="360"/>
      </w:pPr>
      <w:rPr>
        <w:rFonts w:ascii="Calibri" w:eastAsia="Calibri" w:hAnsi="Calibri"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nsid w:val="7EAB357E"/>
    <w:multiLevelType w:val="hybridMultilevel"/>
    <w:tmpl w:val="51E66D46"/>
    <w:lvl w:ilvl="0" w:tplc="2FFE8100">
      <w:start w:val="1"/>
      <w:numFmt w:val="upperLetter"/>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3"/>
  </w:num>
  <w:num w:numId="8">
    <w:abstractNumId w:val="6"/>
  </w:num>
  <w:num w:numId="9">
    <w:abstractNumId w:val="4"/>
  </w:num>
  <w:num w:numId="10">
    <w:abstractNumId w:val="2"/>
  </w:num>
  <w:num w:numId="11">
    <w:abstractNumId w:val="1"/>
  </w:num>
  <w:num w:numId="12">
    <w:abstractNumId w:val="0"/>
  </w:num>
  <w:num w:numId="13">
    <w:abstractNumId w:val="11"/>
  </w:num>
  <w:num w:numId="14">
    <w:abstractNumId w:val="14"/>
  </w:num>
  <w:num w:numId="15">
    <w:abstractNumId w:val="15"/>
  </w:num>
  <w:num w:numId="1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2598"/>
    <w:rsid w:val="0002564D"/>
    <w:rsid w:val="00025990"/>
    <w:rsid w:val="00025ECA"/>
    <w:rsid w:val="00027939"/>
    <w:rsid w:val="000325B8"/>
    <w:rsid w:val="00032888"/>
    <w:rsid w:val="00034C15"/>
    <w:rsid w:val="00036BA1"/>
    <w:rsid w:val="000422E2"/>
    <w:rsid w:val="00042F22"/>
    <w:rsid w:val="000444EF"/>
    <w:rsid w:val="00052A07"/>
    <w:rsid w:val="000534E3"/>
    <w:rsid w:val="0005606A"/>
    <w:rsid w:val="00056B59"/>
    <w:rsid w:val="00057117"/>
    <w:rsid w:val="000616E7"/>
    <w:rsid w:val="0006487E"/>
    <w:rsid w:val="00064E9B"/>
    <w:rsid w:val="00065E1A"/>
    <w:rsid w:val="00067414"/>
    <w:rsid w:val="00071656"/>
    <w:rsid w:val="00072385"/>
    <w:rsid w:val="00073B6D"/>
    <w:rsid w:val="00077E5F"/>
    <w:rsid w:val="0008036A"/>
    <w:rsid w:val="00081AE6"/>
    <w:rsid w:val="000855EB"/>
    <w:rsid w:val="00085B52"/>
    <w:rsid w:val="000866F2"/>
    <w:rsid w:val="0009009F"/>
    <w:rsid w:val="00091557"/>
    <w:rsid w:val="00092155"/>
    <w:rsid w:val="000924C1"/>
    <w:rsid w:val="000924F0"/>
    <w:rsid w:val="00093474"/>
    <w:rsid w:val="0009510F"/>
    <w:rsid w:val="000A1B7B"/>
    <w:rsid w:val="000A56F2"/>
    <w:rsid w:val="000A7B49"/>
    <w:rsid w:val="000B2719"/>
    <w:rsid w:val="000B3A8F"/>
    <w:rsid w:val="000B4AB9"/>
    <w:rsid w:val="000B58C3"/>
    <w:rsid w:val="000B61E9"/>
    <w:rsid w:val="000C165A"/>
    <w:rsid w:val="000C2E19"/>
    <w:rsid w:val="000C7C1E"/>
    <w:rsid w:val="000D0D07"/>
    <w:rsid w:val="000D4797"/>
    <w:rsid w:val="000D5007"/>
    <w:rsid w:val="000E0527"/>
    <w:rsid w:val="000E1E92"/>
    <w:rsid w:val="000E7633"/>
    <w:rsid w:val="000F06D6"/>
    <w:rsid w:val="000F0EB1"/>
    <w:rsid w:val="000F1106"/>
    <w:rsid w:val="000F11E8"/>
    <w:rsid w:val="000F3BE9"/>
    <w:rsid w:val="000F3F6C"/>
    <w:rsid w:val="000F54F6"/>
    <w:rsid w:val="000F6DF3"/>
    <w:rsid w:val="001005FF"/>
    <w:rsid w:val="00102F47"/>
    <w:rsid w:val="00105739"/>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0CBE"/>
    <w:rsid w:val="00151E23"/>
    <w:rsid w:val="001526E0"/>
    <w:rsid w:val="001551B5"/>
    <w:rsid w:val="001636F0"/>
    <w:rsid w:val="001643A8"/>
    <w:rsid w:val="001659C1"/>
    <w:rsid w:val="00173A8E"/>
    <w:rsid w:val="00177795"/>
    <w:rsid w:val="0018143F"/>
    <w:rsid w:val="00190AC1"/>
    <w:rsid w:val="0019341A"/>
    <w:rsid w:val="00197DF9"/>
    <w:rsid w:val="001A1987"/>
    <w:rsid w:val="001A2564"/>
    <w:rsid w:val="001A5C5A"/>
    <w:rsid w:val="001A6173"/>
    <w:rsid w:val="001A6CBA"/>
    <w:rsid w:val="001B0D97"/>
    <w:rsid w:val="001B5A5D"/>
    <w:rsid w:val="001C1CE5"/>
    <w:rsid w:val="001C3D2A"/>
    <w:rsid w:val="001C6495"/>
    <w:rsid w:val="001D028A"/>
    <w:rsid w:val="001D07E8"/>
    <w:rsid w:val="001D11DD"/>
    <w:rsid w:val="001D51BA"/>
    <w:rsid w:val="001D6342"/>
    <w:rsid w:val="001D6D53"/>
    <w:rsid w:val="001D79F9"/>
    <w:rsid w:val="001E2C19"/>
    <w:rsid w:val="001E58E2"/>
    <w:rsid w:val="001E7AED"/>
    <w:rsid w:val="001E7AFB"/>
    <w:rsid w:val="001F3916"/>
    <w:rsid w:val="001F54C5"/>
    <w:rsid w:val="001F5FB8"/>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7ED"/>
    <w:rsid w:val="00230765"/>
    <w:rsid w:val="002319E4"/>
    <w:rsid w:val="00235309"/>
    <w:rsid w:val="00235632"/>
    <w:rsid w:val="00235872"/>
    <w:rsid w:val="00241559"/>
    <w:rsid w:val="002428A8"/>
    <w:rsid w:val="002435B3"/>
    <w:rsid w:val="002458EB"/>
    <w:rsid w:val="002500C8"/>
    <w:rsid w:val="00250349"/>
    <w:rsid w:val="00253C63"/>
    <w:rsid w:val="00257543"/>
    <w:rsid w:val="0025799B"/>
    <w:rsid w:val="002600AF"/>
    <w:rsid w:val="002617E7"/>
    <w:rsid w:val="00261FC8"/>
    <w:rsid w:val="00264228"/>
    <w:rsid w:val="00264334"/>
    <w:rsid w:val="0026473E"/>
    <w:rsid w:val="00266214"/>
    <w:rsid w:val="00267C83"/>
    <w:rsid w:val="0027144F"/>
    <w:rsid w:val="00271F3A"/>
    <w:rsid w:val="00273278"/>
    <w:rsid w:val="002737F4"/>
    <w:rsid w:val="00275BDD"/>
    <w:rsid w:val="002805F5"/>
    <w:rsid w:val="00280751"/>
    <w:rsid w:val="0028280A"/>
    <w:rsid w:val="00283542"/>
    <w:rsid w:val="00286ACD"/>
    <w:rsid w:val="0028729E"/>
    <w:rsid w:val="00287838"/>
    <w:rsid w:val="00287996"/>
    <w:rsid w:val="002907B5"/>
    <w:rsid w:val="00292EB7"/>
    <w:rsid w:val="002935E3"/>
    <w:rsid w:val="00295D7F"/>
    <w:rsid w:val="00296227"/>
    <w:rsid w:val="00296F44"/>
    <w:rsid w:val="0029777D"/>
    <w:rsid w:val="002A055E"/>
    <w:rsid w:val="002A0FE7"/>
    <w:rsid w:val="002A1D4E"/>
    <w:rsid w:val="002A2869"/>
    <w:rsid w:val="002A4ADB"/>
    <w:rsid w:val="002A63A8"/>
    <w:rsid w:val="002B24D6"/>
    <w:rsid w:val="002B4545"/>
    <w:rsid w:val="002C22F6"/>
    <w:rsid w:val="002C41E6"/>
    <w:rsid w:val="002D071A"/>
    <w:rsid w:val="002D34B2"/>
    <w:rsid w:val="002D7637"/>
    <w:rsid w:val="002E17F2"/>
    <w:rsid w:val="002E7CAE"/>
    <w:rsid w:val="002F0A49"/>
    <w:rsid w:val="002F1E04"/>
    <w:rsid w:val="002F2771"/>
    <w:rsid w:val="002F37A9"/>
    <w:rsid w:val="002F7A60"/>
    <w:rsid w:val="002F7DAB"/>
    <w:rsid w:val="00301CE6"/>
    <w:rsid w:val="0030256B"/>
    <w:rsid w:val="0030501F"/>
    <w:rsid w:val="00307BA1"/>
    <w:rsid w:val="00311702"/>
    <w:rsid w:val="00311E82"/>
    <w:rsid w:val="00313FD6"/>
    <w:rsid w:val="003143BD"/>
    <w:rsid w:val="00317B01"/>
    <w:rsid w:val="003203ED"/>
    <w:rsid w:val="00322C9F"/>
    <w:rsid w:val="003231B5"/>
    <w:rsid w:val="00324D23"/>
    <w:rsid w:val="00331751"/>
    <w:rsid w:val="00334579"/>
    <w:rsid w:val="003354C1"/>
    <w:rsid w:val="00335858"/>
    <w:rsid w:val="00336BDA"/>
    <w:rsid w:val="00342BD7"/>
    <w:rsid w:val="00343A07"/>
    <w:rsid w:val="00346DB5"/>
    <w:rsid w:val="003477B1"/>
    <w:rsid w:val="0035482C"/>
    <w:rsid w:val="00357380"/>
    <w:rsid w:val="003602D9"/>
    <w:rsid w:val="003604CE"/>
    <w:rsid w:val="00370E47"/>
    <w:rsid w:val="00371712"/>
    <w:rsid w:val="003742AC"/>
    <w:rsid w:val="00377CE1"/>
    <w:rsid w:val="00385BF0"/>
    <w:rsid w:val="003939FF"/>
    <w:rsid w:val="003A2223"/>
    <w:rsid w:val="003A2A0F"/>
    <w:rsid w:val="003A45A1"/>
    <w:rsid w:val="003A5811"/>
    <w:rsid w:val="003A5B0A"/>
    <w:rsid w:val="003A6BAC"/>
    <w:rsid w:val="003A7EF3"/>
    <w:rsid w:val="003B159C"/>
    <w:rsid w:val="003B369F"/>
    <w:rsid w:val="003B36A3"/>
    <w:rsid w:val="003B3D72"/>
    <w:rsid w:val="003B7FE5"/>
    <w:rsid w:val="003C0FF3"/>
    <w:rsid w:val="003C11C8"/>
    <w:rsid w:val="003C2702"/>
    <w:rsid w:val="003C45EC"/>
    <w:rsid w:val="003C4689"/>
    <w:rsid w:val="003C7806"/>
    <w:rsid w:val="003D109F"/>
    <w:rsid w:val="003D2478"/>
    <w:rsid w:val="003D2FC4"/>
    <w:rsid w:val="003D3C45"/>
    <w:rsid w:val="003D5B1F"/>
    <w:rsid w:val="003E15FA"/>
    <w:rsid w:val="003E333C"/>
    <w:rsid w:val="003E55E4"/>
    <w:rsid w:val="003E666C"/>
    <w:rsid w:val="003E74E3"/>
    <w:rsid w:val="003E75BA"/>
    <w:rsid w:val="003F05C7"/>
    <w:rsid w:val="003F2CD4"/>
    <w:rsid w:val="003F5270"/>
    <w:rsid w:val="003F6BBE"/>
    <w:rsid w:val="004000E8"/>
    <w:rsid w:val="004025E6"/>
    <w:rsid w:val="00402E2B"/>
    <w:rsid w:val="0040512B"/>
    <w:rsid w:val="00405CA5"/>
    <w:rsid w:val="00407CD3"/>
    <w:rsid w:val="00410134"/>
    <w:rsid w:val="00410B72"/>
    <w:rsid w:val="00410F18"/>
    <w:rsid w:val="0041263E"/>
    <w:rsid w:val="00413AAC"/>
    <w:rsid w:val="00421105"/>
    <w:rsid w:val="00422243"/>
    <w:rsid w:val="004242F4"/>
    <w:rsid w:val="00425256"/>
    <w:rsid w:val="00427248"/>
    <w:rsid w:val="0043582B"/>
    <w:rsid w:val="00437447"/>
    <w:rsid w:val="00441A92"/>
    <w:rsid w:val="00441AC0"/>
    <w:rsid w:val="00444F56"/>
    <w:rsid w:val="00446488"/>
    <w:rsid w:val="004513A6"/>
    <w:rsid w:val="004517AA"/>
    <w:rsid w:val="00452CAC"/>
    <w:rsid w:val="00457565"/>
    <w:rsid w:val="00457B71"/>
    <w:rsid w:val="004606AF"/>
    <w:rsid w:val="00465F3A"/>
    <w:rsid w:val="004669E2"/>
    <w:rsid w:val="004700DC"/>
    <w:rsid w:val="00470C31"/>
    <w:rsid w:val="004734D0"/>
    <w:rsid w:val="00474B77"/>
    <w:rsid w:val="0047556B"/>
    <w:rsid w:val="00477768"/>
    <w:rsid w:val="00480F93"/>
    <w:rsid w:val="00486EA9"/>
    <w:rsid w:val="00492BC5"/>
    <w:rsid w:val="004964F1"/>
    <w:rsid w:val="00496C2B"/>
    <w:rsid w:val="004A0E4B"/>
    <w:rsid w:val="004A16BC"/>
    <w:rsid w:val="004A2B94"/>
    <w:rsid w:val="004B7C0C"/>
    <w:rsid w:val="004C35F5"/>
    <w:rsid w:val="004C3898"/>
    <w:rsid w:val="004D36B1"/>
    <w:rsid w:val="004D7EBD"/>
    <w:rsid w:val="004E2680"/>
    <w:rsid w:val="004E28F9"/>
    <w:rsid w:val="004E462E"/>
    <w:rsid w:val="004E56DC"/>
    <w:rsid w:val="004E76F4"/>
    <w:rsid w:val="004F0B4E"/>
    <w:rsid w:val="004F0B6C"/>
    <w:rsid w:val="004F2078"/>
    <w:rsid w:val="004F4DA3"/>
    <w:rsid w:val="004F5A60"/>
    <w:rsid w:val="004F5B05"/>
    <w:rsid w:val="004F7554"/>
    <w:rsid w:val="00506557"/>
    <w:rsid w:val="0050677A"/>
    <w:rsid w:val="005108D8"/>
    <w:rsid w:val="00510DC4"/>
    <w:rsid w:val="005116F9"/>
    <w:rsid w:val="005153A7"/>
    <w:rsid w:val="005219CF"/>
    <w:rsid w:val="00524E04"/>
    <w:rsid w:val="00531534"/>
    <w:rsid w:val="005338D0"/>
    <w:rsid w:val="00534B59"/>
    <w:rsid w:val="00536715"/>
    <w:rsid w:val="00536759"/>
    <w:rsid w:val="005373CF"/>
    <w:rsid w:val="00537C62"/>
    <w:rsid w:val="00546970"/>
    <w:rsid w:val="00550884"/>
    <w:rsid w:val="00554E19"/>
    <w:rsid w:val="005557BF"/>
    <w:rsid w:val="0056121F"/>
    <w:rsid w:val="00562271"/>
    <w:rsid w:val="005641C7"/>
    <w:rsid w:val="00564E8C"/>
    <w:rsid w:val="00567839"/>
    <w:rsid w:val="00572505"/>
    <w:rsid w:val="005736D9"/>
    <w:rsid w:val="00580202"/>
    <w:rsid w:val="00582809"/>
    <w:rsid w:val="00584B2C"/>
    <w:rsid w:val="00586080"/>
    <w:rsid w:val="005865F8"/>
    <w:rsid w:val="0058798C"/>
    <w:rsid w:val="005900FA"/>
    <w:rsid w:val="005935A4"/>
    <w:rsid w:val="005948C2"/>
    <w:rsid w:val="00595DCA"/>
    <w:rsid w:val="0059779B"/>
    <w:rsid w:val="005A209A"/>
    <w:rsid w:val="005A58BB"/>
    <w:rsid w:val="005A662D"/>
    <w:rsid w:val="005B35D7"/>
    <w:rsid w:val="005B392A"/>
    <w:rsid w:val="005B3AA3"/>
    <w:rsid w:val="005B6F83"/>
    <w:rsid w:val="005C5B5E"/>
    <w:rsid w:val="005C74FB"/>
    <w:rsid w:val="005D1602"/>
    <w:rsid w:val="005E0060"/>
    <w:rsid w:val="005E385F"/>
    <w:rsid w:val="005E5B81"/>
    <w:rsid w:val="005F0B00"/>
    <w:rsid w:val="005F1826"/>
    <w:rsid w:val="005F2CB1"/>
    <w:rsid w:val="005F3025"/>
    <w:rsid w:val="005F4D03"/>
    <w:rsid w:val="005F618C"/>
    <w:rsid w:val="005F70BD"/>
    <w:rsid w:val="0060283C"/>
    <w:rsid w:val="00604F14"/>
    <w:rsid w:val="00605E42"/>
    <w:rsid w:val="00605F62"/>
    <w:rsid w:val="00610AF6"/>
    <w:rsid w:val="00611B83"/>
    <w:rsid w:val="00613257"/>
    <w:rsid w:val="00615BED"/>
    <w:rsid w:val="00620A71"/>
    <w:rsid w:val="00620D80"/>
    <w:rsid w:val="00621555"/>
    <w:rsid w:val="006234A6"/>
    <w:rsid w:val="00624D23"/>
    <w:rsid w:val="00630001"/>
    <w:rsid w:val="006310ED"/>
    <w:rsid w:val="006311B3"/>
    <w:rsid w:val="00631A79"/>
    <w:rsid w:val="0063284C"/>
    <w:rsid w:val="00636398"/>
    <w:rsid w:val="006368D3"/>
    <w:rsid w:val="006377EC"/>
    <w:rsid w:val="0064066E"/>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B4F"/>
    <w:rsid w:val="006741F2"/>
    <w:rsid w:val="00674CC3"/>
    <w:rsid w:val="00675C72"/>
    <w:rsid w:val="006771F9"/>
    <w:rsid w:val="006776D7"/>
    <w:rsid w:val="00681003"/>
    <w:rsid w:val="006817C9"/>
    <w:rsid w:val="00683AEE"/>
    <w:rsid w:val="00683ECE"/>
    <w:rsid w:val="00695FC2"/>
    <w:rsid w:val="00696949"/>
    <w:rsid w:val="00696E60"/>
    <w:rsid w:val="00697052"/>
    <w:rsid w:val="006A141D"/>
    <w:rsid w:val="006A46FB"/>
    <w:rsid w:val="006A5E28"/>
    <w:rsid w:val="006A697B"/>
    <w:rsid w:val="006A7AFF"/>
    <w:rsid w:val="006B1744"/>
    <w:rsid w:val="006B1816"/>
    <w:rsid w:val="006B2099"/>
    <w:rsid w:val="006B50CF"/>
    <w:rsid w:val="006C03B8"/>
    <w:rsid w:val="006C5EC9"/>
    <w:rsid w:val="006C6059"/>
    <w:rsid w:val="006C7522"/>
    <w:rsid w:val="006D014A"/>
    <w:rsid w:val="006D0841"/>
    <w:rsid w:val="006D4447"/>
    <w:rsid w:val="006D6F08"/>
    <w:rsid w:val="006E062C"/>
    <w:rsid w:val="006E28B7"/>
    <w:rsid w:val="006E3310"/>
    <w:rsid w:val="006E4ADC"/>
    <w:rsid w:val="006E4E39"/>
    <w:rsid w:val="006E565E"/>
    <w:rsid w:val="006E66EA"/>
    <w:rsid w:val="006E673D"/>
    <w:rsid w:val="006E7D3B"/>
    <w:rsid w:val="006F1B70"/>
    <w:rsid w:val="006F341D"/>
    <w:rsid w:val="006F3CDE"/>
    <w:rsid w:val="006F58D4"/>
    <w:rsid w:val="0070346E"/>
    <w:rsid w:val="00704CA7"/>
    <w:rsid w:val="00704EDB"/>
    <w:rsid w:val="0070537F"/>
    <w:rsid w:val="00706101"/>
    <w:rsid w:val="00707072"/>
    <w:rsid w:val="00707D61"/>
    <w:rsid w:val="007111EC"/>
    <w:rsid w:val="00712287"/>
    <w:rsid w:val="00712772"/>
    <w:rsid w:val="007148D3"/>
    <w:rsid w:val="00715B9A"/>
    <w:rsid w:val="00721593"/>
    <w:rsid w:val="00726EA6"/>
    <w:rsid w:val="00727208"/>
    <w:rsid w:val="00727680"/>
    <w:rsid w:val="00730B7C"/>
    <w:rsid w:val="007348B1"/>
    <w:rsid w:val="00734B23"/>
    <w:rsid w:val="007362A6"/>
    <w:rsid w:val="00736D7D"/>
    <w:rsid w:val="00740BA2"/>
    <w:rsid w:val="00740E58"/>
    <w:rsid w:val="0074405B"/>
    <w:rsid w:val="007445A0"/>
    <w:rsid w:val="0074524B"/>
    <w:rsid w:val="00747D8B"/>
    <w:rsid w:val="00751228"/>
    <w:rsid w:val="007571E1"/>
    <w:rsid w:val="007604B2"/>
    <w:rsid w:val="00763E8C"/>
    <w:rsid w:val="00764C65"/>
    <w:rsid w:val="00765281"/>
    <w:rsid w:val="00766BAD"/>
    <w:rsid w:val="007730BD"/>
    <w:rsid w:val="007755F2"/>
    <w:rsid w:val="0077630D"/>
    <w:rsid w:val="00776971"/>
    <w:rsid w:val="00780479"/>
    <w:rsid w:val="0078177E"/>
    <w:rsid w:val="0078304C"/>
    <w:rsid w:val="00783673"/>
    <w:rsid w:val="007837F3"/>
    <w:rsid w:val="00785490"/>
    <w:rsid w:val="007925EA"/>
    <w:rsid w:val="00793CD8"/>
    <w:rsid w:val="00795C92"/>
    <w:rsid w:val="00796231"/>
    <w:rsid w:val="007A1CB3"/>
    <w:rsid w:val="007A306F"/>
    <w:rsid w:val="007A43A6"/>
    <w:rsid w:val="007A58A6"/>
    <w:rsid w:val="007B3D2D"/>
    <w:rsid w:val="007B50AE"/>
    <w:rsid w:val="007B51DF"/>
    <w:rsid w:val="007C05DD"/>
    <w:rsid w:val="007C2A06"/>
    <w:rsid w:val="007C3D18"/>
    <w:rsid w:val="007C60BF"/>
    <w:rsid w:val="007C6A07"/>
    <w:rsid w:val="007C75A1"/>
    <w:rsid w:val="007C77A5"/>
    <w:rsid w:val="007D04E5"/>
    <w:rsid w:val="007D06F9"/>
    <w:rsid w:val="007D1C6D"/>
    <w:rsid w:val="007D5901"/>
    <w:rsid w:val="007D65D7"/>
    <w:rsid w:val="007D7526"/>
    <w:rsid w:val="007E4610"/>
    <w:rsid w:val="007E4715"/>
    <w:rsid w:val="007E505B"/>
    <w:rsid w:val="007E7091"/>
    <w:rsid w:val="00800F7C"/>
    <w:rsid w:val="00803FAE"/>
    <w:rsid w:val="0080605F"/>
    <w:rsid w:val="00807786"/>
    <w:rsid w:val="00811FCB"/>
    <w:rsid w:val="008158D6"/>
    <w:rsid w:val="00817196"/>
    <w:rsid w:val="00817EDE"/>
    <w:rsid w:val="008235DB"/>
    <w:rsid w:val="00824AB4"/>
    <w:rsid w:val="00825C42"/>
    <w:rsid w:val="00825D25"/>
    <w:rsid w:val="008276E3"/>
    <w:rsid w:val="00827D6F"/>
    <w:rsid w:val="008376AC"/>
    <w:rsid w:val="00840B37"/>
    <w:rsid w:val="008444E8"/>
    <w:rsid w:val="008446A4"/>
    <w:rsid w:val="00844E80"/>
    <w:rsid w:val="00845ECB"/>
    <w:rsid w:val="00846FE7"/>
    <w:rsid w:val="00850CEC"/>
    <w:rsid w:val="00856911"/>
    <w:rsid w:val="00857E14"/>
    <w:rsid w:val="00865663"/>
    <w:rsid w:val="008677FD"/>
    <w:rsid w:val="008706D4"/>
    <w:rsid w:val="00870F8A"/>
    <w:rsid w:val="008719A4"/>
    <w:rsid w:val="00871D23"/>
    <w:rsid w:val="00874312"/>
    <w:rsid w:val="0087437C"/>
    <w:rsid w:val="00875CD7"/>
    <w:rsid w:val="008769E7"/>
    <w:rsid w:val="00876B4D"/>
    <w:rsid w:val="00877F18"/>
    <w:rsid w:val="008877BB"/>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62A"/>
    <w:rsid w:val="008C2017"/>
    <w:rsid w:val="008C4958"/>
    <w:rsid w:val="008C4BAA"/>
    <w:rsid w:val="008C6AE8"/>
    <w:rsid w:val="008C7573"/>
    <w:rsid w:val="008D34F1"/>
    <w:rsid w:val="008D39D8"/>
    <w:rsid w:val="008D6D1A"/>
    <w:rsid w:val="008E065E"/>
    <w:rsid w:val="008E0927"/>
    <w:rsid w:val="008E1909"/>
    <w:rsid w:val="008E52A4"/>
    <w:rsid w:val="008F18F1"/>
    <w:rsid w:val="008F1EAB"/>
    <w:rsid w:val="008F33DC"/>
    <w:rsid w:val="008F477F"/>
    <w:rsid w:val="009012E6"/>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15CA"/>
    <w:rsid w:val="00953920"/>
    <w:rsid w:val="00953D47"/>
    <w:rsid w:val="0095681E"/>
    <w:rsid w:val="009572D4"/>
    <w:rsid w:val="009601EF"/>
    <w:rsid w:val="00961921"/>
    <w:rsid w:val="0096430A"/>
    <w:rsid w:val="0096554B"/>
    <w:rsid w:val="0096584A"/>
    <w:rsid w:val="00971F08"/>
    <w:rsid w:val="009759A2"/>
    <w:rsid w:val="0097603D"/>
    <w:rsid w:val="00976949"/>
    <w:rsid w:val="00980477"/>
    <w:rsid w:val="00985253"/>
    <w:rsid w:val="009853B3"/>
    <w:rsid w:val="00990630"/>
    <w:rsid w:val="00991761"/>
    <w:rsid w:val="00994DCA"/>
    <w:rsid w:val="009960EC"/>
    <w:rsid w:val="00996D5A"/>
    <w:rsid w:val="009970DD"/>
    <w:rsid w:val="009A0FBA"/>
    <w:rsid w:val="009A1601"/>
    <w:rsid w:val="009A462D"/>
    <w:rsid w:val="009A5CBA"/>
    <w:rsid w:val="009B1F30"/>
    <w:rsid w:val="009B3889"/>
    <w:rsid w:val="009B3AC2"/>
    <w:rsid w:val="009B4AB3"/>
    <w:rsid w:val="009B4DF4"/>
    <w:rsid w:val="009B564E"/>
    <w:rsid w:val="009B7E87"/>
    <w:rsid w:val="009C3F0A"/>
    <w:rsid w:val="009C403E"/>
    <w:rsid w:val="009C4D98"/>
    <w:rsid w:val="009D2C40"/>
    <w:rsid w:val="009D49B3"/>
    <w:rsid w:val="009D4FF0"/>
    <w:rsid w:val="009D703C"/>
    <w:rsid w:val="009D718F"/>
    <w:rsid w:val="009E068F"/>
    <w:rsid w:val="009E14E0"/>
    <w:rsid w:val="009E179B"/>
    <w:rsid w:val="009E35DB"/>
    <w:rsid w:val="009E47A3"/>
    <w:rsid w:val="009F08F3"/>
    <w:rsid w:val="009F1ECE"/>
    <w:rsid w:val="009F344F"/>
    <w:rsid w:val="00A048A8"/>
    <w:rsid w:val="00A04CCC"/>
    <w:rsid w:val="00A04F49"/>
    <w:rsid w:val="00A13E54"/>
    <w:rsid w:val="00A17F63"/>
    <w:rsid w:val="00A2193B"/>
    <w:rsid w:val="00A2351A"/>
    <w:rsid w:val="00A264A9"/>
    <w:rsid w:val="00A27785"/>
    <w:rsid w:val="00A30187"/>
    <w:rsid w:val="00A340AA"/>
    <w:rsid w:val="00A3448A"/>
    <w:rsid w:val="00A35EA7"/>
    <w:rsid w:val="00A36297"/>
    <w:rsid w:val="00A41E2B"/>
    <w:rsid w:val="00A45B74"/>
    <w:rsid w:val="00A51EDE"/>
    <w:rsid w:val="00A52E1D"/>
    <w:rsid w:val="00A5621E"/>
    <w:rsid w:val="00A57D3F"/>
    <w:rsid w:val="00A60807"/>
    <w:rsid w:val="00A61499"/>
    <w:rsid w:val="00A62A77"/>
    <w:rsid w:val="00A63138"/>
    <w:rsid w:val="00A6323C"/>
    <w:rsid w:val="00A63483"/>
    <w:rsid w:val="00A657D7"/>
    <w:rsid w:val="00A660AC"/>
    <w:rsid w:val="00A67E6C"/>
    <w:rsid w:val="00A71B99"/>
    <w:rsid w:val="00A739D0"/>
    <w:rsid w:val="00A761D4"/>
    <w:rsid w:val="00A77796"/>
    <w:rsid w:val="00A77EC4"/>
    <w:rsid w:val="00A864A5"/>
    <w:rsid w:val="00A92879"/>
    <w:rsid w:val="00A9442A"/>
    <w:rsid w:val="00AA016F"/>
    <w:rsid w:val="00AA1ED6"/>
    <w:rsid w:val="00AA51D6"/>
    <w:rsid w:val="00AA5BD3"/>
    <w:rsid w:val="00AB0BC8"/>
    <w:rsid w:val="00AB11CA"/>
    <w:rsid w:val="00AB14D9"/>
    <w:rsid w:val="00AB4AB8"/>
    <w:rsid w:val="00AB655E"/>
    <w:rsid w:val="00AB7C80"/>
    <w:rsid w:val="00AC007F"/>
    <w:rsid w:val="00AC0D94"/>
    <w:rsid w:val="00AC2ECD"/>
    <w:rsid w:val="00AC3119"/>
    <w:rsid w:val="00AC333B"/>
    <w:rsid w:val="00AC49FB"/>
    <w:rsid w:val="00AC5A10"/>
    <w:rsid w:val="00AD0AA3"/>
    <w:rsid w:val="00AD3F94"/>
    <w:rsid w:val="00AD4A5A"/>
    <w:rsid w:val="00AE27AC"/>
    <w:rsid w:val="00AE40E0"/>
    <w:rsid w:val="00AE4DBA"/>
    <w:rsid w:val="00AE4F07"/>
    <w:rsid w:val="00AE7D84"/>
    <w:rsid w:val="00AF1C5D"/>
    <w:rsid w:val="00AF42D7"/>
    <w:rsid w:val="00B006FE"/>
    <w:rsid w:val="00B007CB"/>
    <w:rsid w:val="00B02AA9"/>
    <w:rsid w:val="00B02FA3"/>
    <w:rsid w:val="00B05084"/>
    <w:rsid w:val="00B0714F"/>
    <w:rsid w:val="00B157F9"/>
    <w:rsid w:val="00B167F1"/>
    <w:rsid w:val="00B20256"/>
    <w:rsid w:val="00B20D09"/>
    <w:rsid w:val="00B21293"/>
    <w:rsid w:val="00B23F0D"/>
    <w:rsid w:val="00B2763F"/>
    <w:rsid w:val="00B27AAC"/>
    <w:rsid w:val="00B30929"/>
    <w:rsid w:val="00B372AA"/>
    <w:rsid w:val="00B40445"/>
    <w:rsid w:val="00B41888"/>
    <w:rsid w:val="00B42BDB"/>
    <w:rsid w:val="00B45A52"/>
    <w:rsid w:val="00B46175"/>
    <w:rsid w:val="00B53A77"/>
    <w:rsid w:val="00B62AAA"/>
    <w:rsid w:val="00B664C7"/>
    <w:rsid w:val="00B71C74"/>
    <w:rsid w:val="00B739F6"/>
    <w:rsid w:val="00B76977"/>
    <w:rsid w:val="00B81A6C"/>
    <w:rsid w:val="00B85DE5"/>
    <w:rsid w:val="00B90F73"/>
    <w:rsid w:val="00B93B59"/>
    <w:rsid w:val="00B9406A"/>
    <w:rsid w:val="00BA0237"/>
    <w:rsid w:val="00BA2280"/>
    <w:rsid w:val="00BA2A08"/>
    <w:rsid w:val="00BA56D2"/>
    <w:rsid w:val="00BA76E0"/>
    <w:rsid w:val="00BB2A25"/>
    <w:rsid w:val="00BB51E9"/>
    <w:rsid w:val="00BC0FDC"/>
    <w:rsid w:val="00BC210D"/>
    <w:rsid w:val="00BC2D47"/>
    <w:rsid w:val="00BC3053"/>
    <w:rsid w:val="00BC4D2E"/>
    <w:rsid w:val="00BD1BD3"/>
    <w:rsid w:val="00BD48AC"/>
    <w:rsid w:val="00BD5F1A"/>
    <w:rsid w:val="00BE1234"/>
    <w:rsid w:val="00BE2FA6"/>
    <w:rsid w:val="00BE333F"/>
    <w:rsid w:val="00BE7406"/>
    <w:rsid w:val="00BE7603"/>
    <w:rsid w:val="00BF3279"/>
    <w:rsid w:val="00BF74C7"/>
    <w:rsid w:val="00C015F1"/>
    <w:rsid w:val="00C01F33"/>
    <w:rsid w:val="00C02CC6"/>
    <w:rsid w:val="00C03AB2"/>
    <w:rsid w:val="00C040F7"/>
    <w:rsid w:val="00C041B0"/>
    <w:rsid w:val="00C044AB"/>
    <w:rsid w:val="00C05706"/>
    <w:rsid w:val="00C061D9"/>
    <w:rsid w:val="00C07377"/>
    <w:rsid w:val="00C10478"/>
    <w:rsid w:val="00C104C4"/>
    <w:rsid w:val="00C12107"/>
    <w:rsid w:val="00C131D4"/>
    <w:rsid w:val="00C14D4B"/>
    <w:rsid w:val="00C154BB"/>
    <w:rsid w:val="00C26FAA"/>
    <w:rsid w:val="00C279B5"/>
    <w:rsid w:val="00C27C45"/>
    <w:rsid w:val="00C3719D"/>
    <w:rsid w:val="00C533EA"/>
    <w:rsid w:val="00C54995"/>
    <w:rsid w:val="00C54D41"/>
    <w:rsid w:val="00C60783"/>
    <w:rsid w:val="00C64672"/>
    <w:rsid w:val="00C70697"/>
    <w:rsid w:val="00C72EF4"/>
    <w:rsid w:val="00C73BE6"/>
    <w:rsid w:val="00C75D2F"/>
    <w:rsid w:val="00C767BE"/>
    <w:rsid w:val="00C76963"/>
    <w:rsid w:val="00C76E3C"/>
    <w:rsid w:val="00C81568"/>
    <w:rsid w:val="00C83D50"/>
    <w:rsid w:val="00C9027A"/>
    <w:rsid w:val="00C9068E"/>
    <w:rsid w:val="00C93C4B"/>
    <w:rsid w:val="00C944AB"/>
    <w:rsid w:val="00C95B40"/>
    <w:rsid w:val="00CA0307"/>
    <w:rsid w:val="00CA1ED8"/>
    <w:rsid w:val="00CA27EC"/>
    <w:rsid w:val="00CB1F63"/>
    <w:rsid w:val="00CB7170"/>
    <w:rsid w:val="00CC040E"/>
    <w:rsid w:val="00CC111F"/>
    <w:rsid w:val="00CC2011"/>
    <w:rsid w:val="00CC3EA0"/>
    <w:rsid w:val="00CC7B45"/>
    <w:rsid w:val="00CD1188"/>
    <w:rsid w:val="00CD2ED1"/>
    <w:rsid w:val="00CD337B"/>
    <w:rsid w:val="00CE0424"/>
    <w:rsid w:val="00CE4FC8"/>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26427"/>
    <w:rsid w:val="00D3005B"/>
    <w:rsid w:val="00D3144D"/>
    <w:rsid w:val="00D36AB6"/>
    <w:rsid w:val="00D36E71"/>
    <w:rsid w:val="00D37D87"/>
    <w:rsid w:val="00D40B33"/>
    <w:rsid w:val="00D4318F"/>
    <w:rsid w:val="00D438BF"/>
    <w:rsid w:val="00D43D1B"/>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4865"/>
    <w:rsid w:val="00D86CA3"/>
    <w:rsid w:val="00D871CE"/>
    <w:rsid w:val="00D918F9"/>
    <w:rsid w:val="00D9196D"/>
    <w:rsid w:val="00D92982"/>
    <w:rsid w:val="00D96866"/>
    <w:rsid w:val="00DA305E"/>
    <w:rsid w:val="00DA5007"/>
    <w:rsid w:val="00DA5417"/>
    <w:rsid w:val="00DA56E8"/>
    <w:rsid w:val="00DB0A9F"/>
    <w:rsid w:val="00DB3569"/>
    <w:rsid w:val="00DB377D"/>
    <w:rsid w:val="00DC1475"/>
    <w:rsid w:val="00DC2D36"/>
    <w:rsid w:val="00DC4C7F"/>
    <w:rsid w:val="00DC53EF"/>
    <w:rsid w:val="00DC770A"/>
    <w:rsid w:val="00DE5608"/>
    <w:rsid w:val="00DE58D0"/>
    <w:rsid w:val="00DE654F"/>
    <w:rsid w:val="00DF0B6E"/>
    <w:rsid w:val="00DF15E0"/>
    <w:rsid w:val="00DF1BED"/>
    <w:rsid w:val="00DF37A0"/>
    <w:rsid w:val="00DF5C56"/>
    <w:rsid w:val="00DF6E4C"/>
    <w:rsid w:val="00E00714"/>
    <w:rsid w:val="00E110E7"/>
    <w:rsid w:val="00E11B20"/>
    <w:rsid w:val="00E17FA2"/>
    <w:rsid w:val="00E22330"/>
    <w:rsid w:val="00E267ED"/>
    <w:rsid w:val="00E30B5A"/>
    <w:rsid w:val="00E3123D"/>
    <w:rsid w:val="00E31461"/>
    <w:rsid w:val="00E31D43"/>
    <w:rsid w:val="00E32608"/>
    <w:rsid w:val="00E34188"/>
    <w:rsid w:val="00E345CD"/>
    <w:rsid w:val="00E34B6E"/>
    <w:rsid w:val="00E35559"/>
    <w:rsid w:val="00E3723A"/>
    <w:rsid w:val="00E37860"/>
    <w:rsid w:val="00E42CD0"/>
    <w:rsid w:val="00E442FC"/>
    <w:rsid w:val="00E446F1"/>
    <w:rsid w:val="00E46886"/>
    <w:rsid w:val="00E47AEF"/>
    <w:rsid w:val="00E53B75"/>
    <w:rsid w:val="00E54E3B"/>
    <w:rsid w:val="00E57565"/>
    <w:rsid w:val="00E63838"/>
    <w:rsid w:val="00E64434"/>
    <w:rsid w:val="00E671A3"/>
    <w:rsid w:val="00E67C51"/>
    <w:rsid w:val="00E67FBD"/>
    <w:rsid w:val="00E72EFC"/>
    <w:rsid w:val="00E758EC"/>
    <w:rsid w:val="00E768CE"/>
    <w:rsid w:val="00E76C47"/>
    <w:rsid w:val="00E8234C"/>
    <w:rsid w:val="00E83AA9"/>
    <w:rsid w:val="00E85928"/>
    <w:rsid w:val="00E87822"/>
    <w:rsid w:val="00E90395"/>
    <w:rsid w:val="00E90E49"/>
    <w:rsid w:val="00E917F9"/>
    <w:rsid w:val="00E9291C"/>
    <w:rsid w:val="00E93FFE"/>
    <w:rsid w:val="00E94F8A"/>
    <w:rsid w:val="00EA126E"/>
    <w:rsid w:val="00EA6537"/>
    <w:rsid w:val="00EA6731"/>
    <w:rsid w:val="00EA7A41"/>
    <w:rsid w:val="00EB077B"/>
    <w:rsid w:val="00EB4EA2"/>
    <w:rsid w:val="00EC27C6"/>
    <w:rsid w:val="00EC4207"/>
    <w:rsid w:val="00EC5653"/>
    <w:rsid w:val="00EC60B5"/>
    <w:rsid w:val="00EC71CE"/>
    <w:rsid w:val="00ED1006"/>
    <w:rsid w:val="00EF18FE"/>
    <w:rsid w:val="00EF34B6"/>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1D7"/>
    <w:rsid w:val="00F507D1"/>
    <w:rsid w:val="00F519CE"/>
    <w:rsid w:val="00F51ADA"/>
    <w:rsid w:val="00F607C5"/>
    <w:rsid w:val="00F60DEA"/>
    <w:rsid w:val="00F6260C"/>
    <w:rsid w:val="00F6302A"/>
    <w:rsid w:val="00F64C2B"/>
    <w:rsid w:val="00F651BE"/>
    <w:rsid w:val="00F67F53"/>
    <w:rsid w:val="00F703BE"/>
    <w:rsid w:val="00F71F69"/>
    <w:rsid w:val="00F72052"/>
    <w:rsid w:val="00F72B08"/>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701"/>
    <w:rsid w:val="00FB4976"/>
    <w:rsid w:val="00FB4C80"/>
    <w:rsid w:val="00FB6A6A"/>
    <w:rsid w:val="00FC4AD0"/>
    <w:rsid w:val="00FC5662"/>
    <w:rsid w:val="00FC7429"/>
    <w:rsid w:val="00FD02E9"/>
    <w:rsid w:val="00FD07F6"/>
    <w:rsid w:val="00FD1EC8"/>
    <w:rsid w:val="00FD3FB3"/>
    <w:rsid w:val="00FD47ED"/>
    <w:rsid w:val="00FD74DB"/>
    <w:rsid w:val="00FD7660"/>
    <w:rsid w:val="00FD7DA4"/>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semiHidden/>
    <w:unhideWhenUsed/>
    <w:rsid w:val="002A0FE7"/>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paragraph" w:customStyle="1" w:styleId="Doc-text2">
    <w:name w:val="Doc-text2"/>
    <w:basedOn w:val="Normal"/>
    <w:link w:val="Doc-text2Char"/>
    <w:qFormat/>
    <w:rsid w:val="000C7C1E"/>
    <w:pPr>
      <w:tabs>
        <w:tab w:val="left" w:pos="1622"/>
      </w:tabs>
      <w:overflowPunct/>
      <w:autoSpaceDE/>
      <w:autoSpaceDN/>
      <w:adjustRightInd/>
      <w:spacing w:after="0" w:line="259" w:lineRule="auto"/>
      <w:ind w:left="1622" w:hanging="363"/>
      <w:jc w:val="left"/>
      <w:textAlignment w:val="auto"/>
    </w:pPr>
    <w:rPr>
      <w:rFonts w:asciiTheme="minorHAnsi" w:eastAsia="MS Mincho" w:hAnsiTheme="minorHAnsi" w:cstheme="minorBidi"/>
      <w:sz w:val="22"/>
      <w:szCs w:val="24"/>
      <w:lang w:val="sv-SE" w:eastAsia="en-GB"/>
    </w:rPr>
  </w:style>
  <w:style w:type="character" w:customStyle="1" w:styleId="Doc-text2Char">
    <w:name w:val="Doc-text2 Char"/>
    <w:link w:val="Doc-text2"/>
    <w:rsid w:val="000C7C1E"/>
    <w:rPr>
      <w:rFonts w:asciiTheme="minorHAnsi" w:eastAsia="MS Mincho" w:hAnsiTheme="minorHAnsi" w:cstheme="minorBidi"/>
      <w:sz w:val="22"/>
      <w:szCs w:val="24"/>
      <w:lang w:val="sv-SE" w:eastAsia="en-GB"/>
    </w:rPr>
  </w:style>
  <w:style w:type="table" w:styleId="TableGrid">
    <w:name w:val="Table Grid"/>
    <w:basedOn w:val="TableNormal"/>
    <w:rsid w:val="006E4A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63E8C"/>
    <w:pPr>
      <w:ind w:left="720"/>
      <w:contextualSpacing/>
    </w:pPr>
  </w:style>
  <w:style w:type="paragraph" w:styleId="Revision">
    <w:name w:val="Revision"/>
    <w:hidden/>
    <w:uiPriority w:val="99"/>
    <w:semiHidden/>
    <w:rsid w:val="005A58B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79561">
      <w:bodyDiv w:val="1"/>
      <w:marLeft w:val="0"/>
      <w:marRight w:val="0"/>
      <w:marTop w:val="0"/>
      <w:marBottom w:val="0"/>
      <w:divBdr>
        <w:top w:val="none" w:sz="0" w:space="0" w:color="auto"/>
        <w:left w:val="none" w:sz="0" w:space="0" w:color="auto"/>
        <w:bottom w:val="none" w:sz="0" w:space="0" w:color="auto"/>
        <w:right w:val="none" w:sz="0" w:space="0" w:color="auto"/>
      </w:divBdr>
    </w:div>
    <w:div w:id="109785941">
      <w:bodyDiv w:val="1"/>
      <w:marLeft w:val="0"/>
      <w:marRight w:val="0"/>
      <w:marTop w:val="0"/>
      <w:marBottom w:val="0"/>
      <w:divBdr>
        <w:top w:val="none" w:sz="0" w:space="0" w:color="auto"/>
        <w:left w:val="none" w:sz="0" w:space="0" w:color="auto"/>
        <w:bottom w:val="none" w:sz="0" w:space="0" w:color="auto"/>
        <w:right w:val="none" w:sz="0" w:space="0" w:color="auto"/>
      </w:divBdr>
    </w:div>
    <w:div w:id="114761261">
      <w:bodyDiv w:val="1"/>
      <w:marLeft w:val="0"/>
      <w:marRight w:val="0"/>
      <w:marTop w:val="0"/>
      <w:marBottom w:val="0"/>
      <w:divBdr>
        <w:top w:val="none" w:sz="0" w:space="0" w:color="auto"/>
        <w:left w:val="none" w:sz="0" w:space="0" w:color="auto"/>
        <w:bottom w:val="none" w:sz="0" w:space="0" w:color="auto"/>
        <w:right w:val="none" w:sz="0" w:space="0" w:color="auto"/>
      </w:divBdr>
    </w:div>
    <w:div w:id="210583491">
      <w:bodyDiv w:val="1"/>
      <w:marLeft w:val="0"/>
      <w:marRight w:val="0"/>
      <w:marTop w:val="0"/>
      <w:marBottom w:val="0"/>
      <w:divBdr>
        <w:top w:val="none" w:sz="0" w:space="0" w:color="auto"/>
        <w:left w:val="none" w:sz="0" w:space="0" w:color="auto"/>
        <w:bottom w:val="none" w:sz="0" w:space="0" w:color="auto"/>
        <w:right w:val="none" w:sz="0" w:space="0" w:color="auto"/>
      </w:divBdr>
    </w:div>
    <w:div w:id="255677392">
      <w:bodyDiv w:val="1"/>
      <w:marLeft w:val="0"/>
      <w:marRight w:val="0"/>
      <w:marTop w:val="0"/>
      <w:marBottom w:val="0"/>
      <w:divBdr>
        <w:top w:val="none" w:sz="0" w:space="0" w:color="auto"/>
        <w:left w:val="none" w:sz="0" w:space="0" w:color="auto"/>
        <w:bottom w:val="none" w:sz="0" w:space="0" w:color="auto"/>
        <w:right w:val="none" w:sz="0" w:space="0" w:color="auto"/>
      </w:divBdr>
    </w:div>
    <w:div w:id="330257601">
      <w:bodyDiv w:val="1"/>
      <w:marLeft w:val="0"/>
      <w:marRight w:val="0"/>
      <w:marTop w:val="0"/>
      <w:marBottom w:val="0"/>
      <w:divBdr>
        <w:top w:val="none" w:sz="0" w:space="0" w:color="auto"/>
        <w:left w:val="none" w:sz="0" w:space="0" w:color="auto"/>
        <w:bottom w:val="none" w:sz="0" w:space="0" w:color="auto"/>
        <w:right w:val="none" w:sz="0" w:space="0" w:color="auto"/>
      </w:divBdr>
    </w:div>
    <w:div w:id="345517882">
      <w:bodyDiv w:val="1"/>
      <w:marLeft w:val="0"/>
      <w:marRight w:val="0"/>
      <w:marTop w:val="0"/>
      <w:marBottom w:val="0"/>
      <w:divBdr>
        <w:top w:val="none" w:sz="0" w:space="0" w:color="auto"/>
        <w:left w:val="none" w:sz="0" w:space="0" w:color="auto"/>
        <w:bottom w:val="none" w:sz="0" w:space="0" w:color="auto"/>
        <w:right w:val="none" w:sz="0" w:space="0" w:color="auto"/>
      </w:divBdr>
    </w:div>
    <w:div w:id="504169111">
      <w:bodyDiv w:val="1"/>
      <w:marLeft w:val="0"/>
      <w:marRight w:val="0"/>
      <w:marTop w:val="0"/>
      <w:marBottom w:val="0"/>
      <w:divBdr>
        <w:top w:val="none" w:sz="0" w:space="0" w:color="auto"/>
        <w:left w:val="none" w:sz="0" w:space="0" w:color="auto"/>
        <w:bottom w:val="none" w:sz="0" w:space="0" w:color="auto"/>
        <w:right w:val="none" w:sz="0" w:space="0" w:color="auto"/>
      </w:divBdr>
    </w:div>
    <w:div w:id="543710332">
      <w:bodyDiv w:val="1"/>
      <w:marLeft w:val="0"/>
      <w:marRight w:val="0"/>
      <w:marTop w:val="0"/>
      <w:marBottom w:val="0"/>
      <w:divBdr>
        <w:top w:val="none" w:sz="0" w:space="0" w:color="auto"/>
        <w:left w:val="none" w:sz="0" w:space="0" w:color="auto"/>
        <w:bottom w:val="none" w:sz="0" w:space="0" w:color="auto"/>
        <w:right w:val="none" w:sz="0" w:space="0" w:color="auto"/>
      </w:divBdr>
    </w:div>
    <w:div w:id="677540487">
      <w:bodyDiv w:val="1"/>
      <w:marLeft w:val="0"/>
      <w:marRight w:val="0"/>
      <w:marTop w:val="0"/>
      <w:marBottom w:val="0"/>
      <w:divBdr>
        <w:top w:val="none" w:sz="0" w:space="0" w:color="auto"/>
        <w:left w:val="none" w:sz="0" w:space="0" w:color="auto"/>
        <w:bottom w:val="none" w:sz="0" w:space="0" w:color="auto"/>
        <w:right w:val="none" w:sz="0" w:space="0" w:color="auto"/>
      </w:divBdr>
    </w:div>
    <w:div w:id="742020786">
      <w:bodyDiv w:val="1"/>
      <w:marLeft w:val="0"/>
      <w:marRight w:val="0"/>
      <w:marTop w:val="0"/>
      <w:marBottom w:val="0"/>
      <w:divBdr>
        <w:top w:val="none" w:sz="0" w:space="0" w:color="auto"/>
        <w:left w:val="none" w:sz="0" w:space="0" w:color="auto"/>
        <w:bottom w:val="none" w:sz="0" w:space="0" w:color="auto"/>
        <w:right w:val="none" w:sz="0" w:space="0" w:color="auto"/>
      </w:divBdr>
    </w:div>
    <w:div w:id="948394071">
      <w:bodyDiv w:val="1"/>
      <w:marLeft w:val="0"/>
      <w:marRight w:val="0"/>
      <w:marTop w:val="0"/>
      <w:marBottom w:val="0"/>
      <w:divBdr>
        <w:top w:val="none" w:sz="0" w:space="0" w:color="auto"/>
        <w:left w:val="none" w:sz="0" w:space="0" w:color="auto"/>
        <w:bottom w:val="none" w:sz="0" w:space="0" w:color="auto"/>
        <w:right w:val="none" w:sz="0" w:space="0" w:color="auto"/>
      </w:divBdr>
    </w:div>
    <w:div w:id="975985500">
      <w:bodyDiv w:val="1"/>
      <w:marLeft w:val="0"/>
      <w:marRight w:val="0"/>
      <w:marTop w:val="0"/>
      <w:marBottom w:val="0"/>
      <w:divBdr>
        <w:top w:val="none" w:sz="0" w:space="0" w:color="auto"/>
        <w:left w:val="none" w:sz="0" w:space="0" w:color="auto"/>
        <w:bottom w:val="none" w:sz="0" w:space="0" w:color="auto"/>
        <w:right w:val="none" w:sz="0" w:space="0" w:color="auto"/>
      </w:divBdr>
    </w:div>
    <w:div w:id="1015620622">
      <w:bodyDiv w:val="1"/>
      <w:marLeft w:val="0"/>
      <w:marRight w:val="0"/>
      <w:marTop w:val="0"/>
      <w:marBottom w:val="0"/>
      <w:divBdr>
        <w:top w:val="none" w:sz="0" w:space="0" w:color="auto"/>
        <w:left w:val="none" w:sz="0" w:space="0" w:color="auto"/>
        <w:bottom w:val="none" w:sz="0" w:space="0" w:color="auto"/>
        <w:right w:val="none" w:sz="0" w:space="0" w:color="auto"/>
      </w:divBdr>
    </w:div>
    <w:div w:id="1066343660">
      <w:bodyDiv w:val="1"/>
      <w:marLeft w:val="0"/>
      <w:marRight w:val="0"/>
      <w:marTop w:val="0"/>
      <w:marBottom w:val="0"/>
      <w:divBdr>
        <w:top w:val="none" w:sz="0" w:space="0" w:color="auto"/>
        <w:left w:val="none" w:sz="0" w:space="0" w:color="auto"/>
        <w:bottom w:val="none" w:sz="0" w:space="0" w:color="auto"/>
        <w:right w:val="none" w:sz="0" w:space="0" w:color="auto"/>
      </w:divBdr>
    </w:div>
    <w:div w:id="1237590532">
      <w:bodyDiv w:val="1"/>
      <w:marLeft w:val="0"/>
      <w:marRight w:val="0"/>
      <w:marTop w:val="0"/>
      <w:marBottom w:val="0"/>
      <w:divBdr>
        <w:top w:val="none" w:sz="0" w:space="0" w:color="auto"/>
        <w:left w:val="none" w:sz="0" w:space="0" w:color="auto"/>
        <w:bottom w:val="none" w:sz="0" w:space="0" w:color="auto"/>
        <w:right w:val="none" w:sz="0" w:space="0" w:color="auto"/>
      </w:divBdr>
    </w:div>
    <w:div w:id="1263029363">
      <w:bodyDiv w:val="1"/>
      <w:marLeft w:val="0"/>
      <w:marRight w:val="0"/>
      <w:marTop w:val="0"/>
      <w:marBottom w:val="0"/>
      <w:divBdr>
        <w:top w:val="none" w:sz="0" w:space="0" w:color="auto"/>
        <w:left w:val="none" w:sz="0" w:space="0" w:color="auto"/>
        <w:bottom w:val="none" w:sz="0" w:space="0" w:color="auto"/>
        <w:right w:val="none" w:sz="0" w:space="0" w:color="auto"/>
      </w:divBdr>
    </w:div>
    <w:div w:id="1513833922">
      <w:bodyDiv w:val="1"/>
      <w:marLeft w:val="0"/>
      <w:marRight w:val="0"/>
      <w:marTop w:val="0"/>
      <w:marBottom w:val="0"/>
      <w:divBdr>
        <w:top w:val="none" w:sz="0" w:space="0" w:color="auto"/>
        <w:left w:val="none" w:sz="0" w:space="0" w:color="auto"/>
        <w:bottom w:val="none" w:sz="0" w:space="0" w:color="auto"/>
        <w:right w:val="none" w:sz="0" w:space="0" w:color="auto"/>
      </w:divBdr>
    </w:div>
    <w:div w:id="1575120731">
      <w:bodyDiv w:val="1"/>
      <w:marLeft w:val="0"/>
      <w:marRight w:val="0"/>
      <w:marTop w:val="0"/>
      <w:marBottom w:val="0"/>
      <w:divBdr>
        <w:top w:val="none" w:sz="0" w:space="0" w:color="auto"/>
        <w:left w:val="none" w:sz="0" w:space="0" w:color="auto"/>
        <w:bottom w:val="none" w:sz="0" w:space="0" w:color="auto"/>
        <w:right w:val="none" w:sz="0" w:space="0" w:color="auto"/>
      </w:divBdr>
    </w:div>
    <w:div w:id="1621256951">
      <w:bodyDiv w:val="1"/>
      <w:marLeft w:val="0"/>
      <w:marRight w:val="0"/>
      <w:marTop w:val="0"/>
      <w:marBottom w:val="0"/>
      <w:divBdr>
        <w:top w:val="none" w:sz="0" w:space="0" w:color="auto"/>
        <w:left w:val="none" w:sz="0" w:space="0" w:color="auto"/>
        <w:bottom w:val="none" w:sz="0" w:space="0" w:color="auto"/>
        <w:right w:val="none" w:sz="0" w:space="0" w:color="auto"/>
      </w:divBdr>
    </w:div>
    <w:div w:id="1651255073">
      <w:bodyDiv w:val="1"/>
      <w:marLeft w:val="0"/>
      <w:marRight w:val="0"/>
      <w:marTop w:val="0"/>
      <w:marBottom w:val="0"/>
      <w:divBdr>
        <w:top w:val="none" w:sz="0" w:space="0" w:color="auto"/>
        <w:left w:val="none" w:sz="0" w:space="0" w:color="auto"/>
        <w:bottom w:val="none" w:sz="0" w:space="0" w:color="auto"/>
        <w:right w:val="none" w:sz="0" w:space="0" w:color="auto"/>
      </w:divBdr>
    </w:div>
    <w:div w:id="1678115879">
      <w:bodyDiv w:val="1"/>
      <w:marLeft w:val="0"/>
      <w:marRight w:val="0"/>
      <w:marTop w:val="0"/>
      <w:marBottom w:val="0"/>
      <w:divBdr>
        <w:top w:val="none" w:sz="0" w:space="0" w:color="auto"/>
        <w:left w:val="none" w:sz="0" w:space="0" w:color="auto"/>
        <w:bottom w:val="none" w:sz="0" w:space="0" w:color="auto"/>
        <w:right w:val="none" w:sz="0" w:space="0" w:color="auto"/>
      </w:divBdr>
    </w:div>
    <w:div w:id="1783185382">
      <w:bodyDiv w:val="1"/>
      <w:marLeft w:val="0"/>
      <w:marRight w:val="0"/>
      <w:marTop w:val="0"/>
      <w:marBottom w:val="0"/>
      <w:divBdr>
        <w:top w:val="none" w:sz="0" w:space="0" w:color="auto"/>
        <w:left w:val="none" w:sz="0" w:space="0" w:color="auto"/>
        <w:bottom w:val="none" w:sz="0" w:space="0" w:color="auto"/>
        <w:right w:val="none" w:sz="0" w:space="0" w:color="auto"/>
      </w:divBdr>
    </w:div>
    <w:div w:id="193023404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5637009">
      <w:bodyDiv w:val="1"/>
      <w:marLeft w:val="0"/>
      <w:marRight w:val="0"/>
      <w:marTop w:val="0"/>
      <w:marBottom w:val="0"/>
      <w:divBdr>
        <w:top w:val="none" w:sz="0" w:space="0" w:color="auto"/>
        <w:left w:val="none" w:sz="0" w:space="0" w:color="auto"/>
        <w:bottom w:val="none" w:sz="0" w:space="0" w:color="auto"/>
        <w:right w:val="none" w:sz="0" w:space="0" w:color="auto"/>
      </w:divBdr>
    </w:div>
    <w:div w:id="213748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F3C58-5BE3-CB43-9C4C-E2E57E28C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C:\Data\SVN\swea\Swea-L23\RAN2_95bis_Kaohsiung\Ericsson contributions\R2-16xxxx - Contribution Template.dot</Template>
  <TotalTime>33</TotalTime>
  <Pages>4</Pages>
  <Words>1463</Words>
  <Characters>8343</Characters>
  <Application>Microsoft Macintosh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Henrik Enbuske</cp:lastModifiedBy>
  <cp:revision>98</cp:revision>
  <cp:lastPrinted>2008-01-31T06:09:00Z</cp:lastPrinted>
  <dcterms:created xsi:type="dcterms:W3CDTF">2017-01-09T12:43:00Z</dcterms:created>
  <dcterms:modified xsi:type="dcterms:W3CDTF">2017-02-03T20:59:00Z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2017-02-02T23:00:00Z</vt:filetime>
  </property>
</Properties>
</file>